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8FE" w14:textId="7FD4F0ED" w:rsidR="005E1024" w:rsidRPr="006E553E" w:rsidRDefault="005E1024" w:rsidP="005E1024">
      <w:pPr>
        <w:spacing w:before="120" w:after="120"/>
        <w:ind w:firstLine="488"/>
        <w:jc w:val="both"/>
        <w:rPr>
          <w:rFonts w:ascii="Trebuchet MS" w:hAnsi="Trebuchet MS"/>
          <w:b/>
          <w:lang w:val="ro-RO" w:eastAsia="ro-RO"/>
        </w:rPr>
      </w:pPr>
      <w:r w:rsidRPr="006E553E">
        <w:rPr>
          <w:rFonts w:ascii="Trebuchet MS" w:hAnsi="Trebuchet MS"/>
          <w:b/>
          <w:lang w:val="ro-RO" w:eastAsia="ro-RO"/>
        </w:rPr>
        <w:t>Atribuţii specifice postului de consilier asistent – Serviciul Soci</w:t>
      </w:r>
      <w:r w:rsidR="00632146">
        <w:rPr>
          <w:rFonts w:ascii="Trebuchet MS" w:hAnsi="Trebuchet MS"/>
          <w:b/>
          <w:lang w:val="ro-RO" w:eastAsia="ro-RO"/>
        </w:rPr>
        <w:t>e</w:t>
      </w:r>
      <w:r w:rsidRPr="006E553E">
        <w:rPr>
          <w:rFonts w:ascii="Trebuchet MS" w:hAnsi="Trebuchet MS"/>
          <w:b/>
          <w:lang w:val="ro-RO" w:eastAsia="ro-RO"/>
        </w:rPr>
        <w:t>tatea Informationala:</w:t>
      </w:r>
    </w:p>
    <w:p w14:paraId="13E9E3BB" w14:textId="77777777" w:rsidR="005E1024" w:rsidRPr="006E553E" w:rsidRDefault="005E1024" w:rsidP="005E1024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"/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 xml:space="preserve">Analizează documentația tehnică și întocmește </w:t>
      </w:r>
      <w:proofErr w:type="gramStart"/>
      <w:r w:rsidRPr="006E553E">
        <w:rPr>
          <w:rFonts w:ascii="Trebuchet MS" w:eastAsia="Calibri" w:hAnsi="Trebuchet MS"/>
          <w:color w:val="000000"/>
          <w:lang w:eastAsia="en-US"/>
        </w:rPr>
        <w:t>documentele  necesare</w:t>
      </w:r>
      <w:proofErr w:type="gramEnd"/>
      <w:r w:rsidRPr="006E553E">
        <w:rPr>
          <w:rFonts w:ascii="Trebuchet MS" w:eastAsia="Calibri" w:hAnsi="Trebuchet MS"/>
          <w:color w:val="000000"/>
          <w:lang w:eastAsia="en-US"/>
        </w:rPr>
        <w:t xml:space="preserve"> pentru avizarea  instrumentelor de plată cu acces la distanţă, de tipul internet banking, home-banking sau mobile-banking; </w:t>
      </w:r>
    </w:p>
    <w:p w14:paraId="0ED22D0A" w14:textId="77777777" w:rsidR="005E1024" w:rsidRPr="006E553E" w:rsidRDefault="005E1024" w:rsidP="005E1024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 xml:space="preserve">Analizează documentația tehnică și întocmește </w:t>
      </w:r>
      <w:proofErr w:type="gramStart"/>
      <w:r w:rsidRPr="006E553E">
        <w:rPr>
          <w:rFonts w:ascii="Trebuchet MS" w:eastAsia="Calibri" w:hAnsi="Trebuchet MS"/>
          <w:color w:val="000000"/>
          <w:lang w:eastAsia="en-US"/>
        </w:rPr>
        <w:t>documentele  necesare</w:t>
      </w:r>
      <w:proofErr w:type="gramEnd"/>
      <w:r w:rsidRPr="006E553E">
        <w:rPr>
          <w:rFonts w:ascii="Trebuchet MS" w:eastAsia="Calibri" w:hAnsi="Trebuchet MS"/>
          <w:color w:val="000000"/>
          <w:lang w:eastAsia="en-US"/>
        </w:rPr>
        <w:t xml:space="preserve">  avizării serviciilor societăţii informaţionale, în conformitate cu legislaţia în vigoare, respective  semnătura electronică, marca temporală;</w:t>
      </w:r>
    </w:p>
    <w:p w14:paraId="3016A3A3" w14:textId="77777777" w:rsidR="005E1024" w:rsidRPr="006E553E" w:rsidRDefault="005E1024" w:rsidP="005E1024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 xml:space="preserve">Analizează documentația tehnică și întocmește </w:t>
      </w:r>
      <w:proofErr w:type="gramStart"/>
      <w:r w:rsidRPr="006E553E">
        <w:rPr>
          <w:rFonts w:ascii="Trebuchet MS" w:eastAsia="Calibri" w:hAnsi="Trebuchet MS"/>
          <w:color w:val="000000"/>
          <w:lang w:eastAsia="en-US"/>
        </w:rPr>
        <w:t>documentele  necesare</w:t>
      </w:r>
      <w:proofErr w:type="gramEnd"/>
      <w:r w:rsidRPr="006E553E">
        <w:rPr>
          <w:rFonts w:ascii="Trebuchet MS" w:eastAsia="Calibri" w:hAnsi="Trebuchet MS"/>
          <w:color w:val="000000"/>
          <w:lang w:eastAsia="en-US"/>
        </w:rPr>
        <w:t xml:space="preserve">  autorizării administratorilor de arhivă electronică, activitate electronică notarială; </w:t>
      </w:r>
    </w:p>
    <w:p w14:paraId="6F90773C" w14:textId="77777777" w:rsidR="005E1024" w:rsidRPr="006E553E" w:rsidRDefault="005E1024" w:rsidP="005E1024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>Analizeaza comunicarile comerciale nesolicitate si asigura legatura cu petentii, respective realizatorii de spam;</w:t>
      </w:r>
    </w:p>
    <w:p w14:paraId="143B1C88" w14:textId="77777777" w:rsidR="005E1024" w:rsidRPr="006E553E" w:rsidRDefault="005E1024" w:rsidP="005E1024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>Formulează rapunsuri și opinii pentru rezolvarea petiițiilor cu tematică din domeniul de competență;</w:t>
      </w:r>
    </w:p>
    <w:p w14:paraId="3AC237E4" w14:textId="77777777" w:rsidR="005E1024" w:rsidRPr="006E553E" w:rsidRDefault="005E1024" w:rsidP="005E1024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>Participă la întocmirea normelor și normativele de specialitate, din domeniul serviciilor societății informaționale, accesibilității site-urilor WEB, funcționarea registrului pentru numele de domenii.ro, in conformitate cu prevederile legale in vigoare;</w:t>
      </w:r>
    </w:p>
    <w:p w14:paraId="47E6FF4B" w14:textId="77777777" w:rsidR="005E1024" w:rsidRPr="006E553E" w:rsidRDefault="005E1024" w:rsidP="005E1024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 xml:space="preserve">Participă la elaborarea proiectelor de acte normative emise de către ADR sau </w:t>
      </w:r>
      <w:r w:rsidRPr="006E553E">
        <w:rPr>
          <w:rFonts w:ascii="Trebuchet MS" w:eastAsia="Calibri" w:hAnsi="Trebuchet MS"/>
          <w:color w:val="000000"/>
          <w:lang w:val="ro-RO" w:eastAsia="en-US"/>
        </w:rPr>
        <w:t>î</w:t>
      </w:r>
      <w:r w:rsidRPr="006E553E">
        <w:rPr>
          <w:rFonts w:ascii="Trebuchet MS" w:eastAsia="Calibri" w:hAnsi="Trebuchet MS"/>
          <w:color w:val="000000"/>
          <w:lang w:eastAsia="en-US"/>
        </w:rPr>
        <w:t xml:space="preserve">ntocmește puncte de </w:t>
      </w:r>
      <w:proofErr w:type="gramStart"/>
      <w:r w:rsidRPr="006E553E">
        <w:rPr>
          <w:rFonts w:ascii="Trebuchet MS" w:eastAsia="Calibri" w:hAnsi="Trebuchet MS"/>
          <w:color w:val="000000"/>
          <w:lang w:eastAsia="en-US"/>
        </w:rPr>
        <w:t>vedere  pentru</w:t>
      </w:r>
      <w:proofErr w:type="gramEnd"/>
      <w:r w:rsidRPr="006E553E">
        <w:rPr>
          <w:rFonts w:ascii="Trebuchet MS" w:eastAsia="Calibri" w:hAnsi="Trebuchet MS"/>
          <w:color w:val="000000"/>
          <w:lang w:eastAsia="en-US"/>
        </w:rPr>
        <w:t xml:space="preserve"> proiectele emise de alte entități,  care contin prevederi cu incidenta in domeniul tehnologiei informatiei, al societatii informationale, cu exceptia celor din domeniul alocarii si atribuirii frecventelor radio;</w:t>
      </w:r>
    </w:p>
    <w:p w14:paraId="6FF249C8" w14:textId="77777777" w:rsidR="005E1024" w:rsidRPr="006E553E" w:rsidRDefault="005E1024" w:rsidP="005E1024">
      <w:pPr>
        <w:numPr>
          <w:ilvl w:val="0"/>
          <w:numId w:val="1"/>
        </w:numPr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 xml:space="preserve">Desfășoară activități de monitorizare </w:t>
      </w:r>
      <w:proofErr w:type="gramStart"/>
      <w:r w:rsidRPr="006E553E">
        <w:rPr>
          <w:rFonts w:ascii="Trebuchet MS" w:eastAsia="Calibri" w:hAnsi="Trebuchet MS"/>
          <w:color w:val="000000"/>
          <w:lang w:eastAsia="en-US"/>
        </w:rPr>
        <w:t>a</w:t>
      </w:r>
      <w:proofErr w:type="gramEnd"/>
      <w:r w:rsidRPr="006E553E">
        <w:rPr>
          <w:rFonts w:ascii="Trebuchet MS" w:eastAsia="Calibri" w:hAnsi="Trebuchet MS"/>
          <w:color w:val="000000"/>
          <w:lang w:eastAsia="en-US"/>
        </w:rPr>
        <w:t xml:space="preserve"> accesibilității site-urilor web ce aparțin organismelor din sectorul public, în conformitate cu procedurra de monitorizare</w:t>
      </w:r>
    </w:p>
    <w:p w14:paraId="5A6D768D" w14:textId="6EFD8B5A" w:rsidR="007F0A6A" w:rsidRPr="006E553E" w:rsidRDefault="005E1024" w:rsidP="005E1024">
      <w:pPr>
        <w:numPr>
          <w:ilvl w:val="0"/>
          <w:numId w:val="1"/>
        </w:numPr>
        <w:rPr>
          <w:rFonts w:ascii="Trebuchet MS" w:eastAsia="Calibri" w:hAnsi="Trebuchet MS"/>
          <w:color w:val="000000"/>
          <w:lang w:eastAsia="en-US"/>
        </w:rPr>
      </w:pPr>
      <w:r w:rsidRPr="006E553E">
        <w:rPr>
          <w:rFonts w:ascii="Trebuchet MS" w:eastAsia="Calibri" w:hAnsi="Trebuchet MS"/>
          <w:color w:val="000000"/>
          <w:lang w:eastAsia="en-US"/>
        </w:rPr>
        <w:t xml:space="preserve">Analizează documentația tehnică și întocmește </w:t>
      </w:r>
      <w:proofErr w:type="gramStart"/>
      <w:r w:rsidRPr="006E553E">
        <w:rPr>
          <w:rFonts w:ascii="Trebuchet MS" w:eastAsia="Calibri" w:hAnsi="Trebuchet MS"/>
          <w:color w:val="000000"/>
          <w:lang w:eastAsia="en-US"/>
        </w:rPr>
        <w:t>documentele  necesare</w:t>
      </w:r>
      <w:proofErr w:type="gramEnd"/>
      <w:r w:rsidRPr="006E553E">
        <w:rPr>
          <w:rFonts w:ascii="Trebuchet MS" w:eastAsia="Calibri" w:hAnsi="Trebuchet MS"/>
          <w:color w:val="000000"/>
          <w:lang w:eastAsia="en-US"/>
        </w:rPr>
        <w:t xml:space="preserve"> acordării avizului tehnic pentru platformele digitale  de transport alternativ.</w:t>
      </w:r>
    </w:p>
    <w:p w14:paraId="0FD7F070" w14:textId="6A2FAC29" w:rsidR="006E553E" w:rsidRPr="006E553E" w:rsidRDefault="006E553E" w:rsidP="006E553E">
      <w:pPr>
        <w:ind w:left="360"/>
        <w:rPr>
          <w:rFonts w:ascii="Trebuchet MS" w:eastAsia="Calibri" w:hAnsi="Trebuchet MS"/>
          <w:color w:val="000000"/>
          <w:lang w:eastAsia="en-US"/>
        </w:rPr>
      </w:pPr>
    </w:p>
    <w:p w14:paraId="41EC98EE" w14:textId="2CB3BBDA" w:rsidR="006E553E" w:rsidRPr="006E553E" w:rsidRDefault="006E553E" w:rsidP="006E553E">
      <w:pPr>
        <w:ind w:left="360"/>
        <w:rPr>
          <w:rFonts w:ascii="Trebuchet MS" w:eastAsia="Calibri" w:hAnsi="Trebuchet MS"/>
          <w:color w:val="000000"/>
          <w:lang w:eastAsia="en-US"/>
        </w:rPr>
      </w:pPr>
    </w:p>
    <w:p w14:paraId="063A686D" w14:textId="09C4C2FE" w:rsidR="006E553E" w:rsidRPr="006E553E" w:rsidRDefault="006E553E" w:rsidP="006E553E">
      <w:pPr>
        <w:ind w:left="360"/>
        <w:rPr>
          <w:rFonts w:ascii="Trebuchet MS" w:eastAsia="Calibri" w:hAnsi="Trebuchet MS"/>
          <w:color w:val="000000"/>
          <w:lang w:eastAsia="en-US"/>
        </w:rPr>
      </w:pPr>
    </w:p>
    <w:p w14:paraId="5C792FE3" w14:textId="302EF859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14FA42DB" w14:textId="5FE37AD6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34EC552F" w14:textId="698CC610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5897336B" w14:textId="3B9C8762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7F028993" w14:textId="1F64B77A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75DF8C86" w14:textId="1C1EDC47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66F56356" w14:textId="6EF0C862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26445841" w14:textId="71654484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55027AF5" w14:textId="5B33DE59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6FE5D1E6" w14:textId="5EB24F07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798E9DBA" w14:textId="6F45CEC5" w:rsidR="006E553E" w:rsidRDefault="006E553E" w:rsidP="006E553E">
      <w:pPr>
        <w:ind w:left="360"/>
        <w:rPr>
          <w:rFonts w:eastAsia="Calibri"/>
          <w:color w:val="000000"/>
          <w:lang w:eastAsia="en-US"/>
        </w:rPr>
      </w:pPr>
    </w:p>
    <w:p w14:paraId="239D4D19" w14:textId="77777777" w:rsidR="006E553E" w:rsidRDefault="006E553E" w:rsidP="006E553E">
      <w:pPr>
        <w:spacing w:before="120" w:after="120"/>
        <w:jc w:val="both"/>
        <w:rPr>
          <w:rFonts w:eastAsia="Calibri"/>
          <w:color w:val="000000"/>
          <w:lang w:eastAsia="en-US"/>
        </w:rPr>
      </w:pPr>
    </w:p>
    <w:p w14:paraId="39453C5F" w14:textId="64A37945" w:rsidR="006E553E" w:rsidRPr="006E553E" w:rsidRDefault="006E553E" w:rsidP="006E553E">
      <w:pPr>
        <w:spacing w:before="120" w:after="120"/>
        <w:ind w:firstLine="488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r w:rsidRPr="006E553E">
        <w:rPr>
          <w:rFonts w:ascii="Trebuchet MS" w:hAnsi="Trebuchet MS"/>
          <w:b/>
          <w:sz w:val="22"/>
          <w:szCs w:val="22"/>
          <w:lang w:val="ro-RO" w:eastAsia="ro-RO"/>
        </w:rPr>
        <w:lastRenderedPageBreak/>
        <w:t>Atribuţii specifice postului de consilier principal – Serviciul Socitatea Informationala:</w:t>
      </w:r>
    </w:p>
    <w:p w14:paraId="4F064017" w14:textId="3DD5897F" w:rsidR="006E553E" w:rsidRPr="006E553E" w:rsidRDefault="006E553E" w:rsidP="006E553E">
      <w:pPr>
        <w:ind w:left="360"/>
        <w:rPr>
          <w:rFonts w:ascii="Trebuchet MS" w:eastAsia="Calibri" w:hAnsi="Trebuchet MS"/>
          <w:color w:val="000000"/>
          <w:sz w:val="22"/>
          <w:szCs w:val="22"/>
          <w:lang w:eastAsia="en-US"/>
        </w:rPr>
      </w:pPr>
    </w:p>
    <w:p w14:paraId="05549397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  <w:lang w:eastAsia="en-US"/>
        </w:rPr>
      </w:pPr>
      <w:r w:rsidRPr="006E553E">
        <w:rPr>
          <w:rFonts w:ascii="Trebuchet MS" w:hAnsi="Trebuchet MS"/>
          <w:sz w:val="22"/>
          <w:szCs w:val="22"/>
        </w:rPr>
        <w:t>Analizează documentația tehnică și întocmește documentele necesare acordării avizului tehnic pentru platformele digitale de transport alternativ;</w:t>
      </w:r>
    </w:p>
    <w:p w14:paraId="18AEB531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Exercită atribuțiile autorității de reglementare și supraveghere în domeniul semnăturii electronice, prevazute de Legea nr.455/2001 privind semnatura electronică, republicată;</w:t>
      </w:r>
    </w:p>
    <w:p w14:paraId="0169C829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Exercită atribuţiile autorităţii de reglementare şi supraveghere în domeniul mărcii temporale, prevăzute de Legea nr. 451/2004 privind marca temporală;</w:t>
      </w:r>
    </w:p>
    <w:p w14:paraId="52307894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Exercită atribuţiile autorităţii de reglementare şi supraveghere în domeniul activităţii electronice notariale prevăzute de Legea nr. 589/2004 privind regimul juridic al activităţii electronice notariale;</w:t>
      </w:r>
    </w:p>
    <w:p w14:paraId="288E9BA3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Exercită atribuţiile autorităţii de reglementare şi supraveghere în domeniul arhivării documentelor în formă electronică prevăzute de Legea nr. 135/2007 privind arhivarea documentelor în formă electronica, republicată;</w:t>
      </w:r>
    </w:p>
    <w:p w14:paraId="01F5814E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 xml:space="preserve">Analizează documentația tehnică și întocmește </w:t>
      </w:r>
      <w:proofErr w:type="gramStart"/>
      <w:r w:rsidRPr="006E553E">
        <w:rPr>
          <w:rFonts w:ascii="Trebuchet MS" w:hAnsi="Trebuchet MS"/>
          <w:sz w:val="22"/>
          <w:szCs w:val="22"/>
        </w:rPr>
        <w:t>documentele  necesare</w:t>
      </w:r>
      <w:proofErr w:type="gramEnd"/>
      <w:r w:rsidRPr="006E553E">
        <w:rPr>
          <w:rFonts w:ascii="Trebuchet MS" w:hAnsi="Trebuchet MS"/>
          <w:sz w:val="22"/>
          <w:szCs w:val="22"/>
        </w:rPr>
        <w:t xml:space="preserve"> pentru avizarea  instrumentelor de plată cu acces la distanţă, de tipul internet banking, home-banking sau mobile-banking; </w:t>
      </w:r>
    </w:p>
    <w:p w14:paraId="426E2C95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 xml:space="preserve">Analizează documentația tehnică și întocmește </w:t>
      </w:r>
      <w:proofErr w:type="gramStart"/>
      <w:r w:rsidRPr="006E553E">
        <w:rPr>
          <w:rFonts w:ascii="Trebuchet MS" w:hAnsi="Trebuchet MS"/>
          <w:sz w:val="22"/>
          <w:szCs w:val="22"/>
        </w:rPr>
        <w:t>documentele  necesare</w:t>
      </w:r>
      <w:proofErr w:type="gramEnd"/>
      <w:r w:rsidRPr="006E553E">
        <w:rPr>
          <w:rFonts w:ascii="Trebuchet MS" w:hAnsi="Trebuchet MS"/>
          <w:sz w:val="22"/>
          <w:szCs w:val="22"/>
        </w:rPr>
        <w:t xml:space="preserve">  autorizării administratorilor de arhivă electronică, activitate electronică notarială</w:t>
      </w:r>
    </w:p>
    <w:p w14:paraId="17B12028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 xml:space="preserve">Participă la elaborarea proiectelor de acte normative emise de către ADR și/sau întocmește puncte de vedere pentru proiectele emise de alte entități, care contin prevederi cu incidenta în domeniul tehnologiei informației și societatii informationale; </w:t>
      </w:r>
    </w:p>
    <w:p w14:paraId="012B68B7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 xml:space="preserve">Participă la transpunerea/crearea cadrului juridic de aplicare directă </w:t>
      </w:r>
      <w:proofErr w:type="gramStart"/>
      <w:r w:rsidRPr="006E553E">
        <w:rPr>
          <w:rFonts w:ascii="Trebuchet MS" w:hAnsi="Trebuchet MS"/>
          <w:sz w:val="22"/>
          <w:szCs w:val="22"/>
        </w:rPr>
        <w:t>a</w:t>
      </w:r>
      <w:proofErr w:type="gramEnd"/>
      <w:r w:rsidRPr="006E553E">
        <w:rPr>
          <w:rFonts w:ascii="Trebuchet MS" w:hAnsi="Trebuchet MS"/>
          <w:sz w:val="22"/>
          <w:szCs w:val="22"/>
        </w:rPr>
        <w:t xml:space="preserve"> actelor normative obligatorii ale Uniunii, precum și armonizarea cu legislația națională, din domeniul societății informaționale.</w:t>
      </w:r>
    </w:p>
    <w:p w14:paraId="7B38BF50" w14:textId="55DDA82A" w:rsidR="006E553E" w:rsidRPr="006E553E" w:rsidRDefault="006E553E" w:rsidP="006E553E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sz w:val="22"/>
          <w:szCs w:val="22"/>
        </w:rPr>
      </w:pPr>
      <w:r w:rsidRPr="006E553E">
        <w:rPr>
          <w:rFonts w:ascii="Trebuchet MS" w:eastAsia="Calibri" w:hAnsi="Trebuchet MS"/>
          <w:color w:val="000000"/>
          <w:sz w:val="22"/>
          <w:szCs w:val="22"/>
        </w:rPr>
        <w:t>Participă la elaborarea normelor tehnice din domeniul serviciilor societății informaționale;</w:t>
      </w:r>
    </w:p>
    <w:p w14:paraId="4B105E9E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kern w:val="3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Formulează răspunsuri și opinii pentru rezolvarea petițiilor cu tematică din domeniul de competență;</w:t>
      </w:r>
    </w:p>
    <w:p w14:paraId="4E0AA54B" w14:textId="77777777" w:rsidR="006E553E" w:rsidRPr="006E553E" w:rsidRDefault="006E553E" w:rsidP="006E553E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sz w:val="22"/>
          <w:szCs w:val="22"/>
        </w:rPr>
      </w:pPr>
      <w:r w:rsidRPr="006E553E">
        <w:rPr>
          <w:rFonts w:ascii="Trebuchet MS" w:eastAsia="Calibri" w:hAnsi="Trebuchet MS"/>
          <w:color w:val="000000"/>
          <w:sz w:val="22"/>
          <w:szCs w:val="22"/>
        </w:rPr>
        <w:t>Participă la supravegherea</w:t>
      </w:r>
      <w:r w:rsidRPr="006E553E">
        <w:rPr>
          <w:rFonts w:ascii="Trebuchet MS" w:eastAsia="Calibri" w:hAnsi="Trebuchet MS"/>
          <w:color w:val="000000"/>
          <w:sz w:val="22"/>
          <w:szCs w:val="22"/>
          <w:lang w:val="ro-RO"/>
        </w:rPr>
        <w:t xml:space="preserve"> respectării prevederilor legale din domeniul comerțului electronic, în conformitate cu prevederile Legii nr. 365/2002 privind comerțul electronic, republicată</w:t>
      </w:r>
      <w:r w:rsidRPr="006E553E">
        <w:rPr>
          <w:rFonts w:ascii="Trebuchet MS" w:eastAsia="Calibri" w:hAnsi="Trebuchet MS"/>
          <w:color w:val="000000"/>
          <w:sz w:val="22"/>
          <w:szCs w:val="22"/>
        </w:rPr>
        <w:t>;</w:t>
      </w:r>
    </w:p>
    <w:p w14:paraId="09741C8B" w14:textId="77777777" w:rsidR="006E553E" w:rsidRPr="006E553E" w:rsidRDefault="006E553E" w:rsidP="006E553E">
      <w:pPr>
        <w:pStyle w:val="ListParagraph"/>
        <w:autoSpaceDE w:val="0"/>
        <w:autoSpaceDN w:val="0"/>
        <w:adjustRightInd w:val="0"/>
        <w:ind w:left="502"/>
        <w:rPr>
          <w:rFonts w:ascii="Trebuchet MS" w:eastAsia="Calibri" w:hAnsi="Trebuchet MS"/>
          <w:color w:val="000000"/>
          <w:sz w:val="22"/>
          <w:szCs w:val="22"/>
        </w:rPr>
      </w:pPr>
    </w:p>
    <w:p w14:paraId="4677C25C" w14:textId="77777777" w:rsidR="006E553E" w:rsidRPr="006E553E" w:rsidRDefault="006E553E" w:rsidP="006E553E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rebuchet MS" w:eastAsia="Calibri" w:hAnsi="Trebuchet MS"/>
          <w:color w:val="000000"/>
          <w:sz w:val="22"/>
          <w:szCs w:val="22"/>
        </w:rPr>
      </w:pPr>
      <w:r w:rsidRPr="006E553E">
        <w:rPr>
          <w:rFonts w:ascii="Trebuchet MS" w:eastAsia="Calibri" w:hAnsi="Trebuchet MS"/>
          <w:color w:val="000000"/>
          <w:sz w:val="22"/>
          <w:szCs w:val="22"/>
        </w:rPr>
        <w:t xml:space="preserve">Desfășoară activități de monitorizare </w:t>
      </w:r>
      <w:proofErr w:type="gramStart"/>
      <w:r w:rsidRPr="006E553E">
        <w:rPr>
          <w:rFonts w:ascii="Trebuchet MS" w:eastAsia="Calibri" w:hAnsi="Trebuchet MS"/>
          <w:color w:val="000000"/>
          <w:sz w:val="22"/>
          <w:szCs w:val="22"/>
        </w:rPr>
        <w:t>a</w:t>
      </w:r>
      <w:proofErr w:type="gramEnd"/>
      <w:r w:rsidRPr="006E553E">
        <w:rPr>
          <w:rFonts w:ascii="Trebuchet MS" w:eastAsia="Calibri" w:hAnsi="Trebuchet MS"/>
          <w:color w:val="000000"/>
          <w:sz w:val="22"/>
          <w:szCs w:val="22"/>
        </w:rPr>
        <w:t xml:space="preserve"> accesibilității site-urilor web ce aparțin organismelor din sectorul public, în conformitate cu procedura de monitorizare;</w:t>
      </w:r>
    </w:p>
    <w:p w14:paraId="7B68104C" w14:textId="77777777" w:rsidR="006E553E" w:rsidRPr="006E553E" w:rsidRDefault="006E553E" w:rsidP="006E553E">
      <w:pPr>
        <w:pStyle w:val="ListParagraph"/>
        <w:autoSpaceDE w:val="0"/>
        <w:autoSpaceDN w:val="0"/>
        <w:adjustRightInd w:val="0"/>
        <w:ind w:left="502"/>
        <w:rPr>
          <w:rFonts w:ascii="Trebuchet MS" w:eastAsia="Calibri" w:hAnsi="Trebuchet MS"/>
          <w:color w:val="000000"/>
          <w:sz w:val="22"/>
          <w:szCs w:val="22"/>
        </w:rPr>
      </w:pPr>
    </w:p>
    <w:p w14:paraId="62461B62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color w:val="000000"/>
          <w:kern w:val="3"/>
          <w:sz w:val="22"/>
          <w:szCs w:val="22"/>
        </w:rPr>
      </w:pPr>
      <w:r w:rsidRPr="006E553E">
        <w:rPr>
          <w:rFonts w:ascii="Trebuchet MS" w:hAnsi="Trebuchet MS"/>
          <w:color w:val="000000"/>
          <w:kern w:val="3"/>
          <w:sz w:val="22"/>
          <w:szCs w:val="22"/>
        </w:rPr>
        <w:t>Participă la elaborarea procedurilor interne de lucru specifice serviciului;</w:t>
      </w:r>
    </w:p>
    <w:p w14:paraId="36956E78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color w:val="000000"/>
          <w:kern w:val="3"/>
          <w:sz w:val="22"/>
          <w:szCs w:val="22"/>
        </w:rPr>
      </w:pPr>
      <w:r w:rsidRPr="006E553E">
        <w:rPr>
          <w:rFonts w:ascii="Trebuchet MS" w:eastAsia="Calibri" w:hAnsi="Trebuchet MS"/>
          <w:color w:val="000000"/>
          <w:sz w:val="22"/>
          <w:szCs w:val="22"/>
        </w:rPr>
        <w:t>Participă la verificarea și controlul serviciilor societății informaționale;</w:t>
      </w:r>
    </w:p>
    <w:p w14:paraId="1DBBD2B4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Participă la elaborearea de ghiduri în domeniul societății informaționale;</w:t>
      </w:r>
    </w:p>
    <w:p w14:paraId="498F0674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lastRenderedPageBreak/>
        <w:t>Promovează şi dezvoltă serviciile societăţii informaţionale;</w:t>
      </w:r>
    </w:p>
    <w:p w14:paraId="0EF7596C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Promovează standardele și recomandările emise de Uniunea Europeană în domeniul societății informaționale;</w:t>
      </w:r>
    </w:p>
    <w:p w14:paraId="06B47368" w14:textId="77777777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Colaborează cu celelalte structuri din cadrul ADR în vederea realizării obiectivelor propuse şi pentru îndeplinirea atribuţiilor specifice;</w:t>
      </w:r>
    </w:p>
    <w:p w14:paraId="05D0A81E" w14:textId="1C7319E0" w:rsidR="006E553E" w:rsidRPr="006E553E" w:rsidRDefault="006E553E" w:rsidP="006E553E">
      <w:pPr>
        <w:numPr>
          <w:ilvl w:val="0"/>
          <w:numId w:val="2"/>
        </w:numPr>
        <w:suppressAutoHyphens w:val="0"/>
        <w:spacing w:after="200"/>
        <w:rPr>
          <w:rFonts w:ascii="Trebuchet MS" w:hAnsi="Trebuchet MS"/>
          <w:sz w:val="22"/>
          <w:szCs w:val="22"/>
        </w:rPr>
      </w:pPr>
      <w:r w:rsidRPr="006E553E">
        <w:rPr>
          <w:rFonts w:ascii="Trebuchet MS" w:hAnsi="Trebuchet MS"/>
          <w:sz w:val="22"/>
          <w:szCs w:val="22"/>
        </w:rPr>
        <w:t>Gestionează eficient resursele materiale şi tehnologice existente;</w:t>
      </w:r>
    </w:p>
    <w:p w14:paraId="4408B07E" w14:textId="77777777" w:rsidR="006E553E" w:rsidRPr="005E1024" w:rsidRDefault="006E553E" w:rsidP="006E553E">
      <w:pPr>
        <w:ind w:left="360"/>
        <w:rPr>
          <w:rFonts w:eastAsia="Calibri"/>
          <w:color w:val="000000"/>
          <w:lang w:eastAsia="en-US"/>
        </w:rPr>
      </w:pPr>
    </w:p>
    <w:sectPr w:rsidR="006E553E" w:rsidRPr="005E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1307"/>
    <w:multiLevelType w:val="hybridMultilevel"/>
    <w:tmpl w:val="5B38D29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87C9F"/>
    <w:multiLevelType w:val="hybridMultilevel"/>
    <w:tmpl w:val="E88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13"/>
    <w:rsid w:val="005E1024"/>
    <w:rsid w:val="00632146"/>
    <w:rsid w:val="00695F13"/>
    <w:rsid w:val="006E553E"/>
    <w:rsid w:val="007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E25D"/>
  <w15:chartTrackingRefBased/>
  <w15:docId w15:val="{6C62E673-F0D4-4829-8F5A-1CA1142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10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6E553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Barbulescu</dc:creator>
  <cp:keywords/>
  <dc:description/>
  <cp:lastModifiedBy>Elena Barbulescu</cp:lastModifiedBy>
  <cp:revision>5</cp:revision>
  <dcterms:created xsi:type="dcterms:W3CDTF">2021-07-22T15:18:00Z</dcterms:created>
  <dcterms:modified xsi:type="dcterms:W3CDTF">2021-07-26T10:42:00Z</dcterms:modified>
</cp:coreProperties>
</file>