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9" w:rsidRPr="008C2F59" w:rsidRDefault="008C2F59" w:rsidP="008C2F59">
      <w:pPr>
        <w:spacing w:after="0" w:line="240" w:lineRule="auto"/>
        <w:ind w:firstLine="720"/>
        <w:jc w:val="both"/>
        <w:rPr>
          <w:rFonts w:ascii="Trebuchet MS" w:eastAsia="Calibri" w:hAnsi="Trebuchet MS" w:cs="Calibri"/>
          <w:bCs/>
          <w:lang w:val="ro-RO"/>
        </w:rPr>
      </w:pPr>
      <w:proofErr w:type="spellStart"/>
      <w:r w:rsidRPr="008C2F59">
        <w:rPr>
          <w:rFonts w:ascii="Trebuchet MS" w:eastAsia="Calibri" w:hAnsi="Trebuchet MS" w:cs="Calibri"/>
          <w:b/>
          <w:u w:val="single"/>
        </w:rPr>
        <w:t>Bibliografia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și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tematica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pentru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postul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de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consilier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,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clasă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I, grad </w:t>
      </w:r>
      <w:proofErr w:type="spellStart"/>
      <w:r w:rsidRPr="008C2F59">
        <w:rPr>
          <w:rFonts w:ascii="Trebuchet MS" w:eastAsia="Calibri" w:hAnsi="Trebuchet MS" w:cs="Calibri"/>
          <w:b/>
          <w:u w:val="single"/>
        </w:rPr>
        <w:t>profesional</w:t>
      </w:r>
      <w:proofErr w:type="spellEnd"/>
      <w:r w:rsidRPr="008C2F59">
        <w:rPr>
          <w:rFonts w:ascii="Trebuchet MS" w:eastAsia="Calibri" w:hAnsi="Trebuchet MS" w:cs="Calibri"/>
          <w:b/>
          <w:u w:val="single"/>
        </w:rPr>
        <w:t xml:space="preserve"> superior </w:t>
      </w:r>
      <w:bookmarkStart w:id="0" w:name="_GoBack"/>
      <w:bookmarkEnd w:id="0"/>
      <w:r w:rsidRPr="008C2F59">
        <w:rPr>
          <w:rFonts w:ascii="Trebuchet MS" w:eastAsia="Calibri" w:hAnsi="Trebuchet MS" w:cs="Calibri"/>
        </w:rPr>
        <w:t>la</w:t>
      </w:r>
      <w:r w:rsidRPr="008C2F59">
        <w:rPr>
          <w:rFonts w:ascii="Trebuchet MS" w:eastAsia="Calibri" w:hAnsi="Trebuchet MS" w:cs="Calibri"/>
          <w:bCs/>
          <w:lang w:val="ro-RO"/>
        </w:rPr>
        <w:t xml:space="preserve"> Serviciul Relații Internaționale și Afaceri Europene din cadrul Autorității pentru Digitalizarea României:</w:t>
      </w:r>
    </w:p>
    <w:p w:rsidR="008C2F59" w:rsidRPr="008C2F59" w:rsidRDefault="008C2F59" w:rsidP="008C2F59">
      <w:pPr>
        <w:spacing w:after="0" w:line="240" w:lineRule="auto"/>
        <w:ind w:firstLine="720"/>
        <w:jc w:val="both"/>
        <w:rPr>
          <w:rFonts w:ascii="Trebuchet MS" w:eastAsia="Calibri" w:hAnsi="Trebuchet MS" w:cs="Calibri"/>
          <w:bCs/>
          <w:lang w:val="ro-RO"/>
        </w:rPr>
      </w:pPr>
    </w:p>
    <w:p w:rsidR="008C2F59" w:rsidRPr="008C2F59" w:rsidRDefault="008C2F59" w:rsidP="008C2F59">
      <w:pPr>
        <w:jc w:val="both"/>
        <w:rPr>
          <w:rFonts w:ascii="Trebuchet MS" w:eastAsia="Calibri" w:hAnsi="Trebuchet MS" w:cs="Calibri"/>
          <w:b/>
          <w:bCs/>
          <w:u w:val="single"/>
        </w:rPr>
      </w:pPr>
      <w:r w:rsidRPr="008C2F59">
        <w:rPr>
          <w:rFonts w:ascii="Trebuchet MS" w:eastAsia="Calibri" w:hAnsi="Trebuchet MS" w:cs="Calibri"/>
          <w:b/>
          <w:bCs/>
          <w:u w:val="single"/>
        </w:rPr>
        <w:t xml:space="preserve">BIBLIOGRAFIE </w:t>
      </w:r>
    </w:p>
    <w:p w:rsidR="008C2F59" w:rsidRPr="008C2F59" w:rsidRDefault="008C2F59" w:rsidP="008C2F59">
      <w:pPr>
        <w:numPr>
          <w:ilvl w:val="0"/>
          <w:numId w:val="1"/>
        </w:numPr>
        <w:tabs>
          <w:tab w:val="left" w:pos="0"/>
        </w:tabs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Piața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Unică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Serviciile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Actul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serviciile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 – Proposal for a Regulation of the European Parliament and of the Council on a Single Market for Digital Services (Digital Services Act) and amending Directive 2000/31/EC: </w:t>
      </w:r>
    </w:p>
    <w:p w:rsidR="008C2F59" w:rsidRPr="008C2F59" w:rsidRDefault="008C2F59" w:rsidP="008C2F59">
      <w:pPr>
        <w:spacing w:before="240"/>
        <w:ind w:left="360" w:right="432"/>
        <w:contextualSpacing/>
        <w:jc w:val="both"/>
        <w:rPr>
          <w:rFonts w:ascii="Trebuchet MS" w:eastAsia="Times New Roman" w:hAnsi="Trebuchet MS" w:cs="Trebuchet MS"/>
          <w:bCs/>
          <w:color w:val="0563C1"/>
          <w:u w:val="single"/>
        </w:rPr>
      </w:pPr>
      <w:hyperlink r:id="rId6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https://ec.europa.eu/digital-single-market/en/news/proposal-regulation-european-parliament-and-council-single-market-digital-services-digital</w:t>
        </w:r>
      </w:hyperlink>
    </w:p>
    <w:p w:rsidR="008C2F59" w:rsidRPr="008C2F59" w:rsidRDefault="008C2F59" w:rsidP="008C2F59">
      <w:pPr>
        <w:numPr>
          <w:ilvl w:val="0"/>
          <w:numId w:val="1"/>
        </w:numPr>
        <w:spacing w:before="240"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piețele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sectorul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digital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Actul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piețele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 – Proposal for a Regulation of the European Parliament and of the Council on contestable and fair markets in the digital sector (Digital Markets Act): </w:t>
      </w:r>
      <w:hyperlink r:id="rId7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https://ec.europa.eu/info/strategy/priorities-2019-2024/europe-fit-digital-age/digital-markets-act-ensuring-fair-and-open-digital-markets_en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guvernanța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la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nivel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european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Legea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guvernanța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): </w:t>
      </w:r>
      <w:hyperlink r:id="rId8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https://eur-lex.europa.eu/legal-content/RO/TXT/PDF/?uri=CELEX:52020PC0767&amp;from=EN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Directiva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(UE) 2019/1024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20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iunie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2019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deschise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reutilizarea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informațiilor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sectorul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public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reformare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): </w:t>
      </w:r>
    </w:p>
    <w:p w:rsidR="008C2F59" w:rsidRPr="008C2F59" w:rsidRDefault="008C2F59" w:rsidP="008C2F59">
      <w:pPr>
        <w:spacing w:before="240"/>
        <w:ind w:left="360"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hyperlink r:id="rId9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https://eur-lex.europa.eu/legal-content/RO/TXT/PDF/?uri=CELEX:32019L1024&amp;from=EN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gramStart"/>
      <w:r w:rsidRPr="008C2F59">
        <w:rPr>
          <w:rFonts w:ascii="Trebuchet MS" w:eastAsia="Times New Roman" w:hAnsi="Trebuchet MS" w:cs="Trebuchet MS"/>
          <w:bCs/>
          <w:color w:val="000000"/>
        </w:rPr>
        <w:t xml:space="preserve">a 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Regulamentului</w:t>
      </w:r>
      <w:proofErr w:type="spellEnd"/>
      <w:proofErr w:type="gram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(UE) nr. 910/2014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în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ceea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privește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instituirea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cadru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identitatea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europeană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:</w:t>
      </w:r>
      <w:r w:rsidRPr="008C2F59">
        <w:rPr>
          <w:rFonts w:ascii="Calibri" w:eastAsia="Calibri" w:hAnsi="Calibri" w:cs="Times New Roman"/>
        </w:rPr>
        <w:t xml:space="preserve"> </w:t>
      </w:r>
      <w:hyperlink r:id="rId10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https://eur-lex.europa.eu/legal-content/RO/TXT/?uri=CELEX:52021PC0281</w:t>
        </w:r>
      </w:hyperlink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stabilire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norme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armonizate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inteligenţa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artificială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Legea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inteligenţa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artificială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anumitor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acte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legislative ale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Uniunii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: </w:t>
      </w:r>
      <w:hyperlink r:id="rId11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https://eur-lex.europa.eu/legal-content/RO/TXT/?uri=CELEX:52021PC0206</w:t>
        </w:r>
      </w:hyperlink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(UE) 2018/1807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14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noiembrie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2018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un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cadru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libera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circulație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fără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caracter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personal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în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Uniunea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Europeană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:</w:t>
      </w:r>
      <w:r w:rsidRPr="008C2F59">
        <w:rPr>
          <w:rFonts w:ascii="Calibri" w:eastAsia="Calibri" w:hAnsi="Calibri" w:cs="Times New Roman"/>
        </w:rPr>
        <w:t xml:space="preserve"> </w:t>
      </w:r>
      <w:hyperlink r:id="rId12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https://eur-lex.europa.eu/legal-content/RO/TXT/PDF/?uri=CELEX:32018R1807&amp;from=EN</w:t>
        </w:r>
      </w:hyperlink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Hotărârea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 89/28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ianuarie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2020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organizarea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funcționarea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Autorității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Digitalizarea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României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: </w:t>
      </w:r>
      <w:hyperlink r:id="rId13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https://www.adr.gov.ro/atributii/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Constituţia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României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republicată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;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Titlul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I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II ale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părţii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VI-a din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Ordonanţa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urgenţă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 57/2019, cu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completările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ulterioare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: </w:t>
      </w:r>
      <w:hyperlink r:id="rId14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http://legislatie.just.ro/Public/DetaliiDocumentAfis/215925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Ordonanţa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nr.137/2000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prevenirea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sancţionarea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tuturor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formelor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discriminare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republicată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cu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completările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ulterioare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;</w:t>
      </w:r>
    </w:p>
    <w:p w:rsidR="008C2F59" w:rsidRPr="008C2F59" w:rsidRDefault="008C2F59" w:rsidP="008C2F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Legea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 202/2002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egalitatea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şanse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tratament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între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femei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bărbaţi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republicată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cu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completările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ulterioare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.</w:t>
      </w:r>
    </w:p>
    <w:p w:rsidR="008C2F59" w:rsidRPr="008C2F59" w:rsidRDefault="008C2F59" w:rsidP="008C2F59">
      <w:pPr>
        <w:shd w:val="clear" w:color="auto" w:fill="FFFFFF"/>
        <w:spacing w:before="150" w:after="150"/>
        <w:contextualSpacing/>
        <w:jc w:val="both"/>
        <w:textAlignment w:val="baseline"/>
        <w:rPr>
          <w:rFonts w:ascii="Trebuchet MS" w:eastAsia="Times New Roman" w:hAnsi="Trebuchet MS" w:cs="Calibri"/>
          <w:b/>
          <w:bCs/>
          <w:u w:val="single"/>
        </w:rPr>
      </w:pPr>
    </w:p>
    <w:p w:rsidR="008C2F59" w:rsidRPr="008C2F59" w:rsidRDefault="008C2F59" w:rsidP="008C2F59">
      <w:pPr>
        <w:shd w:val="clear" w:color="auto" w:fill="FFFFFF"/>
        <w:spacing w:before="150" w:after="150"/>
        <w:contextualSpacing/>
        <w:jc w:val="both"/>
        <w:textAlignment w:val="baseline"/>
        <w:rPr>
          <w:rFonts w:ascii="Trebuchet MS" w:eastAsia="Times New Roman" w:hAnsi="Trebuchet MS" w:cs="Calibri"/>
          <w:b/>
          <w:bCs/>
          <w:u w:val="single"/>
        </w:rPr>
      </w:pPr>
      <w:r w:rsidRPr="008C2F59">
        <w:rPr>
          <w:rFonts w:ascii="Trebuchet MS" w:eastAsia="Times New Roman" w:hAnsi="Trebuchet MS" w:cs="Calibri"/>
          <w:b/>
          <w:bCs/>
          <w:u w:val="single"/>
        </w:rPr>
        <w:t xml:space="preserve">TEMATICĂ </w:t>
      </w:r>
    </w:p>
    <w:p w:rsidR="008C2F59" w:rsidRPr="008C2F59" w:rsidRDefault="008C2F59" w:rsidP="008C2F59">
      <w:pPr>
        <w:numPr>
          <w:ilvl w:val="0"/>
          <w:numId w:val="3"/>
        </w:numPr>
        <w:tabs>
          <w:tab w:val="left" w:pos="0"/>
        </w:tabs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Piața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Unică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Serviciile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Actul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serviciile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 – Proposal for a Regulation of the European Parliament and of the Council on a Single Market for Digital Services (Digital Services Act) and amending Directive 2000/31/EC: </w:t>
      </w:r>
    </w:p>
    <w:p w:rsidR="008C2F59" w:rsidRPr="008C2F59" w:rsidRDefault="008C2F59" w:rsidP="008C2F59">
      <w:pPr>
        <w:spacing w:before="240"/>
        <w:ind w:left="360" w:right="432"/>
        <w:contextualSpacing/>
        <w:jc w:val="both"/>
        <w:rPr>
          <w:rFonts w:ascii="Trebuchet MS" w:eastAsia="Times New Roman" w:hAnsi="Trebuchet MS" w:cs="Trebuchet MS"/>
          <w:bCs/>
          <w:color w:val="0563C1"/>
          <w:u w:val="single"/>
        </w:rPr>
      </w:pPr>
      <w:hyperlink r:id="rId15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https://ec.europa.eu/digital-single-market/en/news/proposal-regulation-european-parliament-and-council-single-market-digital-services-digital</w:t>
        </w:r>
      </w:hyperlink>
    </w:p>
    <w:p w:rsidR="008C2F59" w:rsidRPr="008C2F59" w:rsidRDefault="008C2F59" w:rsidP="008C2F59">
      <w:pPr>
        <w:numPr>
          <w:ilvl w:val="0"/>
          <w:numId w:val="3"/>
        </w:numPr>
        <w:spacing w:before="240"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piețele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sectorul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digital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Actul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piețele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 – Proposal for a Regulation of the European Parliament and of the Council on contestable and fair markets in the digital sector (Digital Markets Act): </w:t>
      </w:r>
      <w:hyperlink r:id="rId16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https://ec.europa.eu/info/strategy/priorities-2019-2024/europe-fit-digital-age/digital-markets-act-ensuring-fair-and-open-digital-markets_en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guvernanța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la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nivel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european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Legea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guvernanța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): </w:t>
      </w:r>
      <w:hyperlink r:id="rId17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https://eur-lex.europa.eu/legal-content/RO/TXT/PDF/?uri=CELEX:52020PC0767&amp;from=EN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Directiva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(UE) 2019/1024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20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iunie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2019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deschise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reutilizarea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informațiilor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sectorul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public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reformare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): </w:t>
      </w:r>
    </w:p>
    <w:p w:rsidR="008C2F59" w:rsidRPr="008C2F59" w:rsidRDefault="008C2F59" w:rsidP="008C2F59">
      <w:pPr>
        <w:spacing w:before="240"/>
        <w:ind w:left="360"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hyperlink r:id="rId18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https://eur-lex.europa.eu/legal-content/RO/TXT/PDF/?uri=CELEX:32019L1024&amp;from=EN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gramStart"/>
      <w:r w:rsidRPr="008C2F59">
        <w:rPr>
          <w:rFonts w:ascii="Trebuchet MS" w:eastAsia="Times New Roman" w:hAnsi="Trebuchet MS" w:cs="Trebuchet MS"/>
          <w:bCs/>
          <w:color w:val="000000"/>
        </w:rPr>
        <w:t xml:space="preserve">a 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Regulamentului</w:t>
      </w:r>
      <w:proofErr w:type="spellEnd"/>
      <w:proofErr w:type="gram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(UE) nr. 910/2014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în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ceea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privește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instituirea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cadru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identitatea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europeană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:</w:t>
      </w:r>
      <w:r w:rsidRPr="008C2F59">
        <w:rPr>
          <w:rFonts w:ascii="Calibri" w:eastAsia="Calibri" w:hAnsi="Calibri" w:cs="Times New Roman"/>
        </w:rPr>
        <w:t xml:space="preserve"> </w:t>
      </w:r>
      <w:hyperlink r:id="rId19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https://eur-lex.europa.eu/legal-content/RO/TXT/?uri=CELEX:52021PC0281</w:t>
        </w:r>
      </w:hyperlink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Propunerea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stabilire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norme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armonizate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inteligenţa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artificială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Legea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inteligenţa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artificială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)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anumitor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acte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legislative ale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Uniunii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: </w:t>
      </w:r>
      <w:hyperlink r:id="rId20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https://eur-lex.europa.eu/legal-content/RO/TXT/?uri=CELEX:52021PC0206</w:t>
        </w:r>
      </w:hyperlink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Regulamentul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(UE) 2018/1807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Parlamentului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European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Consiliului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din 14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noiembrie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2018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un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cadru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libera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circulație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datelor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fără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caracter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personal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în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Uniunea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Europeană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:</w:t>
      </w:r>
      <w:r w:rsidRPr="008C2F59">
        <w:rPr>
          <w:rFonts w:ascii="Calibri" w:eastAsia="Calibri" w:hAnsi="Calibri" w:cs="Times New Roman"/>
        </w:rPr>
        <w:t xml:space="preserve"> </w:t>
      </w:r>
      <w:hyperlink r:id="rId21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https://eur-lex.europa.eu/legal-content/RO/TXT/PDF/?uri=CELEX:32018R1807&amp;from=EN</w:t>
        </w:r>
      </w:hyperlink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ind w:right="432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Hotărârea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 89/28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ianuarie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2020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organizarea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și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funcționarea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Autorității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pentru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Digitalizarea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României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: </w:t>
      </w:r>
      <w:hyperlink r:id="rId22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https://www.adr.gov.ro/atributii/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Constituţia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României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republicată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;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Titlul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I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II ale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părţii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VI-a din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Ordonanţa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urgenţă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a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 57/2019, cu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completările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ulterioare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: </w:t>
      </w:r>
      <w:hyperlink r:id="rId23" w:history="1">
        <w:r w:rsidRPr="008C2F59">
          <w:rPr>
            <w:rFonts w:ascii="Trebuchet MS" w:eastAsia="Times New Roman" w:hAnsi="Trebuchet MS" w:cs="Trebuchet MS"/>
            <w:bCs/>
            <w:color w:val="0563C1"/>
            <w:u w:val="single"/>
          </w:rPr>
          <w:t>http://legislatie.just.ro/Public/DetaliiDocumentAfis/215925</w:t>
        </w:r>
      </w:hyperlink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Ordonanţa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Guvernului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nr.137/2000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prevenirea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sancţionarea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tuturor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formelor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discriminare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republicată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cu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completările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ulterioare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;</w:t>
      </w:r>
    </w:p>
    <w:p w:rsidR="008C2F59" w:rsidRPr="008C2F59" w:rsidRDefault="008C2F59" w:rsidP="008C2F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rebuchet MS" w:eastAsia="Times New Roman" w:hAnsi="Trebuchet MS" w:cs="Trebuchet MS"/>
          <w:bCs/>
          <w:color w:val="000000"/>
        </w:rPr>
      </w:pP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Legea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nr. 202/2002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privind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egalitatea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şanse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de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tratament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între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femei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bărbaţi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republicată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, cu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modificările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şi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completările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 xml:space="preserve"> </w:t>
      </w:r>
      <w:proofErr w:type="spellStart"/>
      <w:r w:rsidRPr="008C2F59">
        <w:rPr>
          <w:rFonts w:ascii="Trebuchet MS" w:eastAsia="Times New Roman" w:hAnsi="Trebuchet MS" w:cs="Trebuchet MS"/>
          <w:bCs/>
          <w:color w:val="000000"/>
        </w:rPr>
        <w:t>ulterioare</w:t>
      </w:r>
      <w:proofErr w:type="spellEnd"/>
      <w:r w:rsidRPr="008C2F59">
        <w:rPr>
          <w:rFonts w:ascii="Trebuchet MS" w:eastAsia="Times New Roman" w:hAnsi="Trebuchet MS" w:cs="Trebuchet MS"/>
          <w:bCs/>
          <w:color w:val="000000"/>
        </w:rPr>
        <w:t>.</w:t>
      </w:r>
    </w:p>
    <w:p w:rsidR="008C2F59" w:rsidRPr="008C2F59" w:rsidRDefault="008C2F59" w:rsidP="008C2F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Calibri" w:hAnsi="Trebuchet MS" w:cs="Calibri"/>
          <w:b/>
          <w:i/>
        </w:rPr>
      </w:pPr>
      <w:proofErr w:type="spellStart"/>
      <w:r w:rsidRPr="008C2F59">
        <w:rPr>
          <w:rFonts w:ascii="Trebuchet MS" w:eastAsia="Calibri" w:hAnsi="Trebuchet MS" w:cs="Calibri"/>
          <w:b/>
        </w:rPr>
        <w:lastRenderedPageBreak/>
        <w:t>N</w:t>
      </w:r>
      <w:r w:rsidRPr="008C2F59">
        <w:rPr>
          <w:rFonts w:ascii="Trebuchet MS" w:eastAsia="Calibri" w:hAnsi="Trebuchet MS" w:cs="Calibri"/>
          <w:b/>
          <w:i/>
        </w:rPr>
        <w:t>otă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: </w:t>
      </w:r>
      <w:proofErr w:type="spellStart"/>
      <w:r w:rsidRPr="008C2F59">
        <w:rPr>
          <w:rFonts w:ascii="Trebuchet MS" w:eastAsia="Calibri" w:hAnsi="Trebuchet MS" w:cs="Calibri"/>
          <w:b/>
          <w:i/>
        </w:rPr>
        <w:t>pentru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toate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actele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normative, forma </w:t>
      </w:r>
      <w:proofErr w:type="spellStart"/>
      <w:r w:rsidRPr="008C2F59">
        <w:rPr>
          <w:rFonts w:ascii="Trebuchet MS" w:eastAsia="Calibri" w:hAnsi="Trebuchet MS" w:cs="Calibri"/>
          <w:b/>
          <w:i/>
        </w:rPr>
        <w:t>valabilă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se </w:t>
      </w:r>
      <w:proofErr w:type="spellStart"/>
      <w:r w:rsidRPr="008C2F59">
        <w:rPr>
          <w:rFonts w:ascii="Trebuchet MS" w:eastAsia="Calibri" w:hAnsi="Trebuchet MS" w:cs="Calibri"/>
          <w:b/>
          <w:i/>
        </w:rPr>
        <w:t>considera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aceea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având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toate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modificările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și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completările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</w:t>
      </w:r>
      <w:proofErr w:type="spellStart"/>
      <w:r w:rsidRPr="008C2F59">
        <w:rPr>
          <w:rFonts w:ascii="Trebuchet MS" w:eastAsia="Calibri" w:hAnsi="Trebuchet MS" w:cs="Calibri"/>
          <w:b/>
          <w:i/>
        </w:rPr>
        <w:t>ulterioare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, </w:t>
      </w:r>
      <w:proofErr w:type="spellStart"/>
      <w:r w:rsidRPr="008C2F59">
        <w:rPr>
          <w:rFonts w:ascii="Trebuchet MS" w:eastAsia="Calibri" w:hAnsi="Trebuchet MS" w:cs="Calibri"/>
          <w:b/>
          <w:i/>
        </w:rPr>
        <w:t>până</w:t>
      </w:r>
      <w:proofErr w:type="spellEnd"/>
      <w:r w:rsidRPr="008C2F59">
        <w:rPr>
          <w:rFonts w:ascii="Trebuchet MS" w:eastAsia="Calibri" w:hAnsi="Trebuchet MS" w:cs="Calibri"/>
          <w:b/>
          <w:i/>
        </w:rPr>
        <w:t xml:space="preserve"> la </w:t>
      </w:r>
      <w:proofErr w:type="spellStart"/>
      <w:r w:rsidRPr="008C2F59">
        <w:rPr>
          <w:rFonts w:ascii="Trebuchet MS" w:eastAsia="Calibri" w:hAnsi="Trebuchet MS" w:cs="Calibri"/>
          <w:b/>
          <w:i/>
        </w:rPr>
        <w:t>zi</w:t>
      </w:r>
      <w:proofErr w:type="spellEnd"/>
      <w:r w:rsidRPr="008C2F59">
        <w:rPr>
          <w:rFonts w:ascii="Trebuchet MS" w:eastAsia="Calibri" w:hAnsi="Trebuchet MS" w:cs="Calibri"/>
          <w:b/>
          <w:i/>
        </w:rPr>
        <w:t>.</w:t>
      </w:r>
    </w:p>
    <w:p w:rsidR="008A1C0E" w:rsidRDefault="008C2F59"/>
    <w:sectPr w:rsidR="008A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F2A"/>
    <w:multiLevelType w:val="hybridMultilevel"/>
    <w:tmpl w:val="264A6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1B80"/>
    <w:multiLevelType w:val="hybridMultilevel"/>
    <w:tmpl w:val="92B6EB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BF7"/>
    <w:multiLevelType w:val="hybridMultilevel"/>
    <w:tmpl w:val="73248626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BB"/>
    <w:rsid w:val="00074C54"/>
    <w:rsid w:val="000833BB"/>
    <w:rsid w:val="00450F0E"/>
    <w:rsid w:val="008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PDF/?uri=CELEX:52020PC0767&amp;from=EN" TargetMode="External"/><Relationship Id="rId13" Type="http://schemas.openxmlformats.org/officeDocument/2006/relationships/hyperlink" Target="https://www.adr.gov.ro/atributii/" TargetMode="External"/><Relationship Id="rId18" Type="http://schemas.openxmlformats.org/officeDocument/2006/relationships/hyperlink" Target="https://eur-lex.europa.eu/legal-content/RO/TXT/PDF/?uri=CELEX:32019L1024&amp;from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r-lex.europa.eu/legal-content/RO/TXT/PDF/?uri=CELEX:32018R1807&amp;from=EN" TargetMode="External"/><Relationship Id="rId7" Type="http://schemas.openxmlformats.org/officeDocument/2006/relationships/hyperlink" Target="https://ec.europa.eu/info/strategy/priorities-2019-2024/europe-fit-digital-age/digital-markets-act-ensuring-fair-and-open-digital-markets_en" TargetMode="External"/><Relationship Id="rId12" Type="http://schemas.openxmlformats.org/officeDocument/2006/relationships/hyperlink" Target="https://eur-lex.europa.eu/legal-content/RO/TXT/PDF/?uri=CELEX:32018R1807&amp;from=EN" TargetMode="External"/><Relationship Id="rId17" Type="http://schemas.openxmlformats.org/officeDocument/2006/relationships/hyperlink" Target="https://eur-lex.europa.eu/legal-content/RO/TXT/PDF/?uri=CELEX:52020PC0767&amp;from=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c.europa.eu/info/strategy/priorities-2019-2024/europe-fit-digital-age/digital-markets-act-ensuring-fair-and-open-digital-markets_en" TargetMode="External"/><Relationship Id="rId20" Type="http://schemas.openxmlformats.org/officeDocument/2006/relationships/hyperlink" Target="https://eur-lex.europa.eu/legal-content/RO/TXT/?uri=CELEX:52021PC02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digital-single-market/en/news/proposal-regulation-european-parliament-and-council-single-market-digital-services-digital" TargetMode="External"/><Relationship Id="rId11" Type="http://schemas.openxmlformats.org/officeDocument/2006/relationships/hyperlink" Target="https://eur-lex.europa.eu/legal-content/RO/TXT/?uri=CELEX:52021PC02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digital-single-market/en/news/proposal-regulation-european-parliament-and-council-single-market-digital-services-digital" TargetMode="External"/><Relationship Id="rId23" Type="http://schemas.openxmlformats.org/officeDocument/2006/relationships/hyperlink" Target="http://legislatie.just.ro/Public/DetaliiDocumentAfis/215925" TargetMode="External"/><Relationship Id="rId10" Type="http://schemas.openxmlformats.org/officeDocument/2006/relationships/hyperlink" Target="https://eur-lex.europa.eu/legal-content/RO/TXT/?uri=CELEX:52021PC0281" TargetMode="External"/><Relationship Id="rId19" Type="http://schemas.openxmlformats.org/officeDocument/2006/relationships/hyperlink" Target="https://eur-lex.europa.eu/legal-content/RO/TXT/?uri=CELEX:52021PC0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RO/TXT/PDF/?uri=CELEX:32019L1024&amp;from=EN" TargetMode="External"/><Relationship Id="rId14" Type="http://schemas.openxmlformats.org/officeDocument/2006/relationships/hyperlink" Target="http://legislatie.just.ro/Public/DetaliiDocumentAfis/215925" TargetMode="External"/><Relationship Id="rId22" Type="http://schemas.openxmlformats.org/officeDocument/2006/relationships/hyperlink" Target="https://www.adr.gov.ro/atribut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Comuicare-01</dc:creator>
  <cp:keywords/>
  <dc:description/>
  <cp:lastModifiedBy>Comuicare-01</cp:lastModifiedBy>
  <cp:revision>2</cp:revision>
  <dcterms:created xsi:type="dcterms:W3CDTF">2021-09-30T20:28:00Z</dcterms:created>
  <dcterms:modified xsi:type="dcterms:W3CDTF">2021-09-30T20:28:00Z</dcterms:modified>
</cp:coreProperties>
</file>