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0" w:rsidRDefault="001C1830" w:rsidP="001C1830">
      <w:pPr>
        <w:pStyle w:val="Default"/>
      </w:pPr>
      <w:bookmarkStart w:id="0" w:name="_GoBack"/>
      <w:bookmarkEnd w:id="0"/>
    </w:p>
    <w:p w:rsidR="001C1830" w:rsidRDefault="001C1830" w:rsidP="001C18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BIBLIOGRAFIE ȘI TEMATICĂ</w:t>
      </w:r>
    </w:p>
    <w:p w:rsidR="001C1830" w:rsidRDefault="001C1830" w:rsidP="001C183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pentru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ocuparea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posturilor</w:t>
      </w:r>
      <w:proofErr w:type="spellEnd"/>
      <w:r>
        <w:rPr>
          <w:b/>
          <w:bCs/>
          <w:sz w:val="28"/>
          <w:szCs w:val="28"/>
        </w:rPr>
        <w:t>:</w:t>
      </w:r>
    </w:p>
    <w:p w:rsidR="001C1830" w:rsidRDefault="001C1830" w:rsidP="001C18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BIBLIOGRAFIE GENERALĂ:</w:t>
      </w:r>
    </w:p>
    <w:p w:rsidR="001C1830" w:rsidRDefault="001C1830" w:rsidP="001C183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− </w:t>
      </w:r>
      <w:proofErr w:type="spellStart"/>
      <w:r>
        <w:rPr>
          <w:b/>
          <w:bCs/>
          <w:sz w:val="23"/>
          <w:szCs w:val="23"/>
        </w:rPr>
        <w:t>Hotărârea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Guvernului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României</w:t>
      </w:r>
      <w:proofErr w:type="spellEnd"/>
      <w:r>
        <w:rPr>
          <w:b/>
          <w:bCs/>
          <w:sz w:val="23"/>
          <w:szCs w:val="23"/>
        </w:rPr>
        <w:t xml:space="preserve"> nr.89/2020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funcționarea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Autorității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Digitalizarea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României</w:t>
      </w:r>
      <w:proofErr w:type="spellEnd"/>
      <w:r>
        <w:rPr>
          <w:sz w:val="23"/>
          <w:szCs w:val="23"/>
        </w:rPr>
        <w:t xml:space="preserve"> (ADR).</w:t>
      </w:r>
      <w:proofErr w:type="gramEnd"/>
      <w:r>
        <w:rPr>
          <w:sz w:val="23"/>
          <w:szCs w:val="23"/>
        </w:rPr>
        <w:t xml:space="preserve"> </w:t>
      </w:r>
    </w:p>
    <w:p w:rsidR="001C1830" w:rsidRDefault="001C1830" w:rsidP="001C18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spellStart"/>
      <w:r>
        <w:rPr>
          <w:b/>
          <w:bCs/>
          <w:sz w:val="23"/>
          <w:szCs w:val="23"/>
        </w:rPr>
        <w:t>Legea</w:t>
      </w:r>
      <w:proofErr w:type="spellEnd"/>
      <w:r>
        <w:rPr>
          <w:b/>
          <w:bCs/>
          <w:sz w:val="23"/>
          <w:szCs w:val="23"/>
        </w:rPr>
        <w:t xml:space="preserve"> nr 477/2004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Codul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conduită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personalului</w:t>
      </w:r>
      <w:proofErr w:type="spellEnd"/>
      <w:r>
        <w:rPr>
          <w:sz w:val="23"/>
          <w:szCs w:val="23"/>
        </w:rPr>
        <w:t xml:space="preserve"> contractual din </w:t>
      </w:r>
      <w:proofErr w:type="spellStart"/>
      <w:r>
        <w:rPr>
          <w:sz w:val="23"/>
          <w:szCs w:val="23"/>
        </w:rPr>
        <w:t>autoritățile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instituțiile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publice</w:t>
      </w:r>
      <w:proofErr w:type="spellEnd"/>
      <w:r>
        <w:rPr>
          <w:sz w:val="23"/>
          <w:szCs w:val="23"/>
        </w:rPr>
        <w:t xml:space="preserve">. </w:t>
      </w:r>
    </w:p>
    <w:p w:rsidR="001C1830" w:rsidRDefault="001C1830" w:rsidP="001C18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spellStart"/>
      <w:r>
        <w:rPr>
          <w:b/>
          <w:bCs/>
          <w:sz w:val="23"/>
          <w:szCs w:val="23"/>
        </w:rPr>
        <w:t>Legea</w:t>
      </w:r>
      <w:proofErr w:type="spellEnd"/>
      <w:r>
        <w:rPr>
          <w:b/>
          <w:bCs/>
          <w:sz w:val="23"/>
          <w:szCs w:val="23"/>
        </w:rPr>
        <w:t xml:space="preserve"> nr. 363/2018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protecția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referitor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prelucrarea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de </w:t>
      </w: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autorităţile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competente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scopul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prevenirii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descoperirii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cercetării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urmăririi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combaterii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infracţiunilor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executării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pedepselor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măsurilor</w:t>
      </w:r>
      <w:proofErr w:type="spellEnd"/>
      <w:r>
        <w:rPr>
          <w:sz w:val="23"/>
          <w:szCs w:val="23"/>
        </w:rPr>
        <w:t xml:space="preserve"> educative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siguranţă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precum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libera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circulatie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acestor</w:t>
      </w:r>
      <w:proofErr w:type="spellEnd"/>
      <w:r>
        <w:rPr>
          <w:sz w:val="23"/>
          <w:szCs w:val="23"/>
        </w:rPr>
        <w:t xml:space="preserve"> date. </w:t>
      </w:r>
    </w:p>
    <w:p w:rsidR="001C1830" w:rsidRDefault="001C1830" w:rsidP="001C1830">
      <w:pPr>
        <w:pStyle w:val="Default"/>
        <w:jc w:val="both"/>
        <w:rPr>
          <w:b/>
          <w:bCs/>
          <w:sz w:val="23"/>
          <w:szCs w:val="23"/>
        </w:rPr>
      </w:pPr>
    </w:p>
    <w:p w:rsidR="001C1830" w:rsidRPr="001C1830" w:rsidRDefault="001C1830" w:rsidP="001C1830">
      <w:pPr>
        <w:pStyle w:val="Default"/>
        <w:jc w:val="both"/>
        <w:rPr>
          <w:sz w:val="23"/>
          <w:szCs w:val="23"/>
          <w:u w:val="single"/>
        </w:rPr>
      </w:pPr>
      <w:r w:rsidRPr="001C1830">
        <w:rPr>
          <w:b/>
          <w:bCs/>
          <w:sz w:val="23"/>
          <w:szCs w:val="23"/>
          <w:u w:val="single"/>
        </w:rPr>
        <w:t>BIBLIOGRAFIE ȘI TEMATICĂ SPECIFICĂ POSTULUI INGINER DE SISTEM GRAD II (</w:t>
      </w:r>
      <w:proofErr w:type="spellStart"/>
      <w:r w:rsidRPr="001C1830">
        <w:rPr>
          <w:b/>
          <w:bCs/>
          <w:sz w:val="23"/>
          <w:szCs w:val="23"/>
          <w:u w:val="single"/>
        </w:rPr>
        <w:t>Serviciul</w:t>
      </w:r>
      <w:proofErr w:type="spellEnd"/>
      <w:r w:rsidRPr="001C1830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1C1830">
        <w:rPr>
          <w:b/>
          <w:bCs/>
          <w:sz w:val="23"/>
          <w:szCs w:val="23"/>
          <w:u w:val="single"/>
        </w:rPr>
        <w:t>Infrastructură</w:t>
      </w:r>
      <w:proofErr w:type="spellEnd"/>
      <w:r w:rsidRPr="001C1830">
        <w:rPr>
          <w:b/>
          <w:bCs/>
          <w:sz w:val="23"/>
          <w:szCs w:val="23"/>
          <w:u w:val="single"/>
        </w:rPr>
        <w:t xml:space="preserve">): </w:t>
      </w:r>
    </w:p>
    <w:p w:rsidR="001C1830" w:rsidRDefault="001C1830" w:rsidP="001C1830">
      <w:pPr>
        <w:pStyle w:val="Default"/>
        <w:spacing w:after="54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Terry William </w:t>
      </w:r>
      <w:proofErr w:type="spellStart"/>
      <w:r>
        <w:rPr>
          <w:rFonts w:ascii="Trebuchet MS" w:hAnsi="Trebuchet MS" w:cs="Trebuchet MS"/>
          <w:sz w:val="22"/>
          <w:szCs w:val="22"/>
        </w:rPr>
        <w:t>Ogletree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Firewalls – </w:t>
      </w:r>
      <w:proofErr w:type="spellStart"/>
      <w:r>
        <w:rPr>
          <w:rFonts w:ascii="Trebuchet MS" w:hAnsi="Trebuchet MS" w:cs="Trebuchet MS"/>
          <w:sz w:val="22"/>
          <w:szCs w:val="22"/>
        </w:rPr>
        <w:t>Protectia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retelelor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conectate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la internet, </w:t>
      </w:r>
      <w:proofErr w:type="spellStart"/>
      <w:r>
        <w:rPr>
          <w:rFonts w:ascii="Trebuchet MS" w:hAnsi="Trebuchet MS" w:cs="Trebuchet MS"/>
          <w:sz w:val="22"/>
          <w:szCs w:val="22"/>
        </w:rPr>
        <w:t>Editura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Teora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2001. </w:t>
      </w:r>
    </w:p>
    <w:p w:rsidR="001C1830" w:rsidRDefault="001C1830" w:rsidP="001C1830">
      <w:pPr>
        <w:pStyle w:val="Default"/>
        <w:spacing w:after="54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 „</w:t>
      </w:r>
      <w:proofErr w:type="spellStart"/>
      <w:r>
        <w:rPr>
          <w:rFonts w:ascii="Trebuchet MS" w:hAnsi="Trebuchet MS" w:cs="Trebuchet MS"/>
          <w:sz w:val="22"/>
          <w:szCs w:val="22"/>
        </w:rPr>
        <w:t>Rețele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 w:cs="Trebuchet MS"/>
          <w:sz w:val="22"/>
          <w:szCs w:val="22"/>
        </w:rPr>
        <w:t>calculatoare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”, - Andrew S. Tanenbaum </w:t>
      </w:r>
    </w:p>
    <w:p w:rsidR="001C1830" w:rsidRDefault="001C1830" w:rsidP="001C1830">
      <w:pPr>
        <w:pStyle w:val="Default"/>
        <w:spacing w:after="54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CCNA 200-301 Official Cert Guide Library - WENDELL ODOM </w:t>
      </w:r>
    </w:p>
    <w:p w:rsidR="001C1830" w:rsidRDefault="001C1830" w:rsidP="001C1830">
      <w:pPr>
        <w:pStyle w:val="Default"/>
        <w:spacing w:after="54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Cisco Certified Network Associate Study Guide (640-802) </w:t>
      </w:r>
    </w:p>
    <w:p w:rsidR="001C1830" w:rsidRDefault="001C1830" w:rsidP="001C1830">
      <w:pPr>
        <w:pStyle w:val="Default"/>
        <w:spacing w:after="54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5. Linux Essentials - Christine </w:t>
      </w:r>
      <w:proofErr w:type="spellStart"/>
      <w:r>
        <w:rPr>
          <w:rFonts w:ascii="Trebuchet MS" w:hAnsi="Trebuchet MS" w:cs="Trebuchet MS"/>
          <w:sz w:val="22"/>
          <w:szCs w:val="22"/>
        </w:rPr>
        <w:t>Bresnahan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Richard Blum </w:t>
      </w:r>
    </w:p>
    <w:p w:rsidR="001C1830" w:rsidRDefault="001C1830" w:rsidP="001C1830">
      <w:pPr>
        <w:pStyle w:val="Default"/>
        <w:spacing w:after="54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6. MCSA Windows Server 2016 Complete Study Guide </w:t>
      </w:r>
    </w:p>
    <w:p w:rsidR="001C1830" w:rsidRDefault="001C1830" w:rsidP="001C1830">
      <w:pPr>
        <w:pStyle w:val="Default"/>
        <w:spacing w:after="54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7. VMware Certified Professional Data Center Virtualization on vSphere 6.7 Study Guide </w:t>
      </w:r>
    </w:p>
    <w:p w:rsidR="001C1830" w:rsidRDefault="001C1830" w:rsidP="001C1830">
      <w:pPr>
        <w:pStyle w:val="Defaul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8. </w:t>
      </w:r>
      <w:proofErr w:type="spellStart"/>
      <w:r>
        <w:rPr>
          <w:rFonts w:ascii="Trebuchet MS" w:hAnsi="Trebuchet MS" w:cs="Trebuchet MS"/>
          <w:sz w:val="22"/>
          <w:szCs w:val="22"/>
        </w:rPr>
        <w:t>Documentaţie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VMWare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şi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VMWare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Community </w:t>
      </w:r>
      <w:proofErr w:type="gramStart"/>
      <w:r>
        <w:rPr>
          <w:rFonts w:ascii="Trebuchet MS" w:hAnsi="Trebuchet MS" w:cs="Trebuchet MS"/>
          <w:sz w:val="22"/>
          <w:szCs w:val="22"/>
        </w:rPr>
        <w:t>( https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://communities.vmware.com) </w:t>
      </w:r>
    </w:p>
    <w:p w:rsidR="001C1830" w:rsidRDefault="001C1830" w:rsidP="001C1830">
      <w:pPr>
        <w:pStyle w:val="Default"/>
        <w:jc w:val="both"/>
        <w:rPr>
          <w:rFonts w:ascii="Trebuchet MS" w:hAnsi="Trebuchet MS" w:cs="Trebuchet MS"/>
          <w:sz w:val="22"/>
          <w:szCs w:val="22"/>
        </w:rPr>
      </w:pPr>
    </w:p>
    <w:p w:rsidR="001C1830" w:rsidRPr="001C1830" w:rsidRDefault="001C1830" w:rsidP="001C1830">
      <w:pPr>
        <w:pStyle w:val="Default"/>
        <w:jc w:val="both"/>
        <w:rPr>
          <w:b/>
          <w:sz w:val="23"/>
          <w:szCs w:val="23"/>
          <w:u w:val="single"/>
        </w:rPr>
      </w:pPr>
      <w:r w:rsidRPr="001C1830">
        <w:rPr>
          <w:b/>
          <w:bCs/>
          <w:sz w:val="23"/>
          <w:szCs w:val="23"/>
          <w:u w:val="single"/>
        </w:rPr>
        <w:t xml:space="preserve">BIBLIOGRAFIE ȘI TEMATICĂ SPECIFICĂ POSTULUI INGINER </w:t>
      </w:r>
      <w:proofErr w:type="gramStart"/>
      <w:r w:rsidRPr="001C1830">
        <w:rPr>
          <w:b/>
          <w:bCs/>
          <w:sz w:val="23"/>
          <w:szCs w:val="23"/>
          <w:u w:val="single"/>
        </w:rPr>
        <w:t>DEBUTANT(</w:t>
      </w:r>
      <w:proofErr w:type="spellStart"/>
      <w:proofErr w:type="gramEnd"/>
      <w:r w:rsidRPr="001C1830">
        <w:rPr>
          <w:b/>
          <w:bCs/>
          <w:sz w:val="23"/>
          <w:szCs w:val="23"/>
          <w:u w:val="single"/>
        </w:rPr>
        <w:t>Serviciul</w:t>
      </w:r>
      <w:proofErr w:type="spellEnd"/>
      <w:r w:rsidRPr="001C1830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1C1830">
        <w:rPr>
          <w:b/>
          <w:bCs/>
          <w:sz w:val="23"/>
          <w:szCs w:val="23"/>
          <w:u w:val="single"/>
        </w:rPr>
        <w:t>Infrastructură</w:t>
      </w:r>
      <w:proofErr w:type="spellEnd"/>
      <w:r w:rsidRPr="001C1830">
        <w:rPr>
          <w:b/>
          <w:bCs/>
          <w:sz w:val="23"/>
          <w:szCs w:val="23"/>
          <w:u w:val="single"/>
        </w:rPr>
        <w:t xml:space="preserve">): </w:t>
      </w:r>
    </w:p>
    <w:p w:rsidR="001C1830" w:rsidRDefault="001C1830" w:rsidP="001C1830">
      <w:pPr>
        <w:pStyle w:val="Default"/>
        <w:spacing w:after="57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1. Terry William </w:t>
      </w:r>
      <w:proofErr w:type="spellStart"/>
      <w:r>
        <w:rPr>
          <w:rFonts w:ascii="Trebuchet MS" w:hAnsi="Trebuchet MS" w:cs="Trebuchet MS"/>
          <w:sz w:val="22"/>
          <w:szCs w:val="22"/>
        </w:rPr>
        <w:t>Ogletree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Firewalls – </w:t>
      </w:r>
      <w:proofErr w:type="spellStart"/>
      <w:r>
        <w:rPr>
          <w:rFonts w:ascii="Trebuchet MS" w:hAnsi="Trebuchet MS" w:cs="Trebuchet MS"/>
          <w:sz w:val="22"/>
          <w:szCs w:val="22"/>
        </w:rPr>
        <w:t>Protectia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retelelor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conectate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la internet, </w:t>
      </w:r>
      <w:proofErr w:type="spellStart"/>
      <w:r>
        <w:rPr>
          <w:rFonts w:ascii="Trebuchet MS" w:hAnsi="Trebuchet MS" w:cs="Trebuchet MS"/>
          <w:sz w:val="22"/>
          <w:szCs w:val="22"/>
        </w:rPr>
        <w:t>Editura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Teora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2001. </w:t>
      </w:r>
    </w:p>
    <w:p w:rsidR="001C1830" w:rsidRDefault="001C1830" w:rsidP="001C1830">
      <w:pPr>
        <w:pStyle w:val="Default"/>
        <w:spacing w:after="57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2. „</w:t>
      </w:r>
      <w:proofErr w:type="spellStart"/>
      <w:r>
        <w:rPr>
          <w:rFonts w:ascii="Trebuchet MS" w:hAnsi="Trebuchet MS" w:cs="Trebuchet MS"/>
          <w:sz w:val="22"/>
          <w:szCs w:val="22"/>
        </w:rPr>
        <w:t>Rețele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>
        <w:rPr>
          <w:rFonts w:ascii="Trebuchet MS" w:hAnsi="Trebuchet MS" w:cs="Trebuchet MS"/>
          <w:sz w:val="22"/>
          <w:szCs w:val="22"/>
        </w:rPr>
        <w:t>calculatoare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”, - Andrew S. Tanenbaum </w:t>
      </w:r>
    </w:p>
    <w:p w:rsidR="001C1830" w:rsidRDefault="001C1830" w:rsidP="001C1830">
      <w:pPr>
        <w:pStyle w:val="Default"/>
        <w:spacing w:after="57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3. CCNA 200-301 Official Cert Guide Library - WENDELL ODOM </w:t>
      </w:r>
    </w:p>
    <w:p w:rsidR="001C1830" w:rsidRDefault="001C1830" w:rsidP="001C1830">
      <w:pPr>
        <w:pStyle w:val="Default"/>
        <w:spacing w:after="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4. Cisco Certified Network Associate Study Guide (640-802) </w:t>
      </w:r>
    </w:p>
    <w:p w:rsidR="001C1830" w:rsidRDefault="001C1830" w:rsidP="001C1830">
      <w:pPr>
        <w:pStyle w:val="Default"/>
        <w:spacing w:after="57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5. Linux Essentials - Christine </w:t>
      </w:r>
      <w:proofErr w:type="spellStart"/>
      <w:r>
        <w:rPr>
          <w:rFonts w:ascii="Trebuchet MS" w:hAnsi="Trebuchet MS" w:cs="Trebuchet MS"/>
          <w:sz w:val="22"/>
          <w:szCs w:val="22"/>
        </w:rPr>
        <w:t>Bresnahan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, Richard Blum </w:t>
      </w:r>
    </w:p>
    <w:p w:rsidR="001C1830" w:rsidRDefault="001C1830" w:rsidP="001C1830">
      <w:pPr>
        <w:pStyle w:val="Default"/>
        <w:spacing w:after="57"/>
        <w:jc w:val="both"/>
        <w:rPr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6. MCSA Windows Server 2016 Complete Study Guide </w:t>
      </w:r>
    </w:p>
    <w:p w:rsidR="001C1830" w:rsidRDefault="001C1830" w:rsidP="001C1830">
      <w:pPr>
        <w:pStyle w:val="Default"/>
        <w:spacing w:after="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7. VMware Certified Professional Data Center Virtualization on vSphere 6.7 Study Guide </w:t>
      </w:r>
    </w:p>
    <w:p w:rsidR="001C1830" w:rsidRDefault="001C1830" w:rsidP="001C1830">
      <w:pPr>
        <w:pStyle w:val="Default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8. </w:t>
      </w:r>
      <w:proofErr w:type="spellStart"/>
      <w:r>
        <w:rPr>
          <w:rFonts w:ascii="Trebuchet MS" w:hAnsi="Trebuchet MS" w:cs="Trebuchet MS"/>
          <w:sz w:val="22"/>
          <w:szCs w:val="22"/>
        </w:rPr>
        <w:t>Documentaţie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VMWare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şi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VMWare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Community </w:t>
      </w:r>
      <w:proofErr w:type="gramStart"/>
      <w:r>
        <w:rPr>
          <w:rFonts w:ascii="Trebuchet MS" w:hAnsi="Trebuchet MS" w:cs="Trebuchet MS"/>
          <w:sz w:val="22"/>
          <w:szCs w:val="22"/>
        </w:rPr>
        <w:t>( https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://communities.vmware.com) </w:t>
      </w:r>
    </w:p>
    <w:p w:rsidR="00CA4641" w:rsidRDefault="00AD3152" w:rsidP="001C1830">
      <w:pPr>
        <w:jc w:val="both"/>
      </w:pPr>
    </w:p>
    <w:p w:rsidR="001C1830" w:rsidRDefault="001C1830">
      <w:pPr>
        <w:jc w:val="both"/>
      </w:pPr>
    </w:p>
    <w:sectPr w:rsidR="001C1830" w:rsidSect="00F16D72">
      <w:pgSz w:w="12240" w:h="16340"/>
      <w:pgMar w:top="1400" w:right="900" w:bottom="174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30"/>
    <w:rsid w:val="001C1830"/>
    <w:rsid w:val="002041C0"/>
    <w:rsid w:val="00AA3034"/>
    <w:rsid w:val="00A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2021-10-18T08:22:00Z</dcterms:created>
  <dcterms:modified xsi:type="dcterms:W3CDTF">2021-10-18T08:22:00Z</dcterms:modified>
</cp:coreProperties>
</file>