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52" w:rsidRDefault="00C30552" w:rsidP="00C30552">
      <w:pPr>
        <w:spacing w:after="0" w:line="240" w:lineRule="auto"/>
        <w:ind w:left="0" w:hanging="2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BIBLIOGRAFIE ȘI TEMATICĂ</w:t>
      </w:r>
    </w:p>
    <w:p w:rsidR="00C30552" w:rsidRPr="00C35151" w:rsidRDefault="00C30552" w:rsidP="00C30552">
      <w:pPr>
        <w:spacing w:after="0" w:line="24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C30552" w:rsidRPr="00C35151" w:rsidRDefault="00C30552" w:rsidP="00C3055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35151">
        <w:rPr>
          <w:rFonts w:ascii="Trebuchet MS" w:eastAsia="Times New Roman" w:hAnsi="Trebuchet MS" w:cs="Times New Roman"/>
          <w:b/>
          <w:sz w:val="24"/>
          <w:szCs w:val="24"/>
        </w:rPr>
        <w:t>Hotărârea</w:t>
      </w:r>
      <w:proofErr w:type="spellEnd"/>
      <w:r w:rsidRPr="00C35151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b/>
          <w:sz w:val="24"/>
          <w:szCs w:val="24"/>
        </w:rPr>
        <w:t>Guvernului</w:t>
      </w:r>
      <w:proofErr w:type="spellEnd"/>
      <w:r w:rsidRPr="00C35151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b/>
          <w:sz w:val="24"/>
          <w:szCs w:val="24"/>
        </w:rPr>
        <w:t>României</w:t>
      </w:r>
      <w:proofErr w:type="spellEnd"/>
      <w:r w:rsidRPr="00C35151">
        <w:rPr>
          <w:rFonts w:ascii="Trebuchet MS" w:eastAsia="Times New Roman" w:hAnsi="Trebuchet MS" w:cs="Times New Roman"/>
          <w:b/>
          <w:sz w:val="24"/>
          <w:szCs w:val="24"/>
        </w:rPr>
        <w:t xml:space="preserve"> nr.89/2020</w:t>
      </w:r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organizarea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funcționarea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Autorității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Digitalizarea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României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(AADR).</w:t>
      </w:r>
    </w:p>
    <w:p w:rsidR="00C30552" w:rsidRPr="00C35151" w:rsidRDefault="00C30552" w:rsidP="00C3055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35151">
        <w:rPr>
          <w:rFonts w:ascii="Trebuchet MS" w:eastAsia="Times New Roman" w:hAnsi="Trebuchet MS" w:cs="Times New Roman"/>
          <w:b/>
          <w:sz w:val="24"/>
          <w:szCs w:val="24"/>
        </w:rPr>
        <w:t>Legea</w:t>
      </w:r>
      <w:proofErr w:type="spellEnd"/>
      <w:r w:rsidRPr="00C35151">
        <w:rPr>
          <w:rFonts w:ascii="Trebuchet MS" w:eastAsia="Times New Roman" w:hAnsi="Trebuchet MS" w:cs="Times New Roman"/>
          <w:b/>
          <w:sz w:val="24"/>
          <w:szCs w:val="24"/>
        </w:rPr>
        <w:t xml:space="preserve"> nr 477/2004</w:t>
      </w:r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Codul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conduită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personalului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contractual din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autoritățile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si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instituțiile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publice</w:t>
      </w:r>
      <w:proofErr w:type="spellEnd"/>
      <w:r w:rsidRPr="00C35151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C30552" w:rsidRPr="00C35151" w:rsidRDefault="00C30552" w:rsidP="00C30552">
      <w:pPr>
        <w:numPr>
          <w:ilvl w:val="0"/>
          <w:numId w:val="1"/>
        </w:numPr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3515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Legea</w:t>
      </w:r>
      <w:proofErr w:type="spellEnd"/>
      <w:r w:rsidRPr="00C3515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nr. 363/2018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protecția</w:t>
      </w:r>
      <w:proofErr w:type="spellEnd"/>
      <w:r w:rsidRPr="00C351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persoanelor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fizice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referitor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prelucrarea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datelor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caracter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personal de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către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autorităţile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competente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scopul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prevenirii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descoperirii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cercetării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urmăririi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penale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combaterii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infracţiunilor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al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executării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pedepselor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măsurilor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educative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siguranţă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libera </w:t>
      </w:r>
      <w:proofErr w:type="spellStart"/>
      <w:r w:rsidRPr="00C35151">
        <w:rPr>
          <w:rFonts w:ascii="Trebuchet MS" w:eastAsia="Times New Roman" w:hAnsi="Trebuchet MS" w:cs="Times New Roman"/>
          <w:sz w:val="24"/>
          <w:szCs w:val="24"/>
        </w:rPr>
        <w:t>circulatie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proofErr w:type="gram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>acestor</w:t>
      </w:r>
      <w:proofErr w:type="spellEnd"/>
      <w:r w:rsidRPr="00C3515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date.</w:t>
      </w:r>
    </w:p>
    <w:p w:rsidR="00C30552" w:rsidRPr="00C35151" w:rsidRDefault="00C30552" w:rsidP="00C30552">
      <w:pPr>
        <w:spacing w:after="0" w:line="240" w:lineRule="auto"/>
        <w:ind w:leftChars="0" w:left="0" w:firstLineChars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C30552" w:rsidRPr="00C35151" w:rsidRDefault="00C30552" w:rsidP="00C30552">
      <w:pPr>
        <w:spacing w:after="0" w:line="240" w:lineRule="auto"/>
        <w:ind w:leftChars="0" w:left="0" w:firstLineChars="0" w:firstLine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bookmarkStart w:id="0" w:name="_Hlk72229405"/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BIBLIOGRAFIE 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ȘI TEMATICA 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SPECIFIC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Ă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POSTULUI 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 xml:space="preserve">INGINER DE SISTEM GRAD </w:t>
      </w:r>
      <w:proofErr w:type="gramStart"/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II</w:t>
      </w:r>
      <w:bookmarkEnd w:id="0"/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bookmarkStart w:id="1" w:name="_Hlk84586040"/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:</w:t>
      </w:r>
      <w:bookmarkEnd w:id="1"/>
      <w:proofErr w:type="gramEnd"/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Terry William Ogletree, Firewalls – Protectia retelelor conectate la internet, Editura Teora, 2001.</w:t>
      </w:r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„Rețele de calculatoare”, - Andrew S. Tanenbaum</w:t>
      </w:r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CCNA 200-301 Official Cert Guide Library - WENDELL ODOM</w:t>
      </w:r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Cisco Certified Network Associate Study Guide (640-802)</w:t>
      </w:r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Linux Essentials - Christine Bresnahan, Richard Blum</w:t>
      </w:r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MCSA Windows Server 2016 Complete Study Guide</w:t>
      </w:r>
    </w:p>
    <w:p w:rsidR="00C30552" w:rsidRPr="00C35151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VMware Certified Professional Data Center Virtualization on vSphere 6.7 Study Guide</w:t>
      </w:r>
    </w:p>
    <w:p w:rsidR="00C30552" w:rsidRPr="00C30552" w:rsidRDefault="00C30552" w:rsidP="00C30552">
      <w:pPr>
        <w:pStyle w:val="ListParagraph"/>
        <w:numPr>
          <w:ilvl w:val="0"/>
          <w:numId w:val="4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Documentaţie VMWare şi VMWare Community ( https://communities.vmware.com)</w:t>
      </w:r>
    </w:p>
    <w:p w:rsidR="00C30552" w:rsidRPr="00C35151" w:rsidRDefault="00C30552" w:rsidP="00C30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bookmarkStart w:id="2" w:name="_heading=h.gjdgxs" w:colFirst="0" w:colLast="0"/>
      <w:bookmarkStart w:id="3" w:name="_Hlk72229741"/>
      <w:bookmarkEnd w:id="2"/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BIBLIOGRAFIE 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ȘI TEMATICA 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SPECIFIC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Ă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POSTULUI 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INGINER DEBUTANT</w:t>
      </w:r>
      <w:r w:rsidRPr="00C351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: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Terry William Ogletree, Firewalls – Protectia retelelor conectate la internet, Editura Teora, 2001.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„Rețele de calculatoare”, - Andrew S. Tanenbaum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CCNA 200-301 Official Cert Guide Library - WENDELL ODOM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Cisco Certified Network Associate Study Guide (640-802)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Linux Essentials - Christine Bresnahan, Richard Blum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MCSA Windows Server 2016 Complete Study Guide</w:t>
      </w:r>
    </w:p>
    <w:p w:rsidR="00C30552" w:rsidRPr="00C35151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>VMware Certified Professional Data Center Virtualization on vSphere 6.7 Study Guide</w:t>
      </w:r>
    </w:p>
    <w:p w:rsidR="00C30552" w:rsidRPr="00C30552" w:rsidRDefault="00C30552" w:rsidP="00C30552">
      <w:pPr>
        <w:pStyle w:val="ListParagraph"/>
        <w:numPr>
          <w:ilvl w:val="0"/>
          <w:numId w:val="3"/>
        </w:numPr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  <w:lang w:val="ro-RO"/>
        </w:rPr>
        <w:t xml:space="preserve">Documentaţie VMWare şi VMWare Community ( </w:t>
      </w:r>
      <w:hyperlink r:id="rId5" w:history="1">
        <w:r w:rsidRPr="00C35151">
          <w:rPr>
            <w:rStyle w:val="Hyperlink"/>
            <w:rFonts w:ascii="Trebuchet MS" w:hAnsi="Trebuchet MS"/>
            <w:sz w:val="24"/>
            <w:szCs w:val="24"/>
            <w:lang w:val="ro-RO"/>
          </w:rPr>
          <w:t>https://communities.vmware.com</w:t>
        </w:r>
      </w:hyperlink>
      <w:r w:rsidRPr="00C35151">
        <w:rPr>
          <w:rFonts w:ascii="Trebuchet MS" w:hAnsi="Trebuchet MS"/>
          <w:sz w:val="24"/>
          <w:szCs w:val="24"/>
          <w:lang w:val="ro-RO"/>
        </w:rPr>
        <w:t>)</w:t>
      </w:r>
      <w:bookmarkStart w:id="4" w:name="_GoBack"/>
      <w:bookmarkEnd w:id="4"/>
    </w:p>
    <w:p w:rsidR="00C30552" w:rsidRPr="00C35151" w:rsidRDefault="00C30552" w:rsidP="00C30552">
      <w:pPr>
        <w:pStyle w:val="ListParagraph"/>
        <w:spacing w:after="200" w:line="276" w:lineRule="auto"/>
        <w:ind w:left="0" w:hanging="2"/>
        <w:contextualSpacing/>
        <w:rPr>
          <w:rFonts w:ascii="Trebuchet MS" w:hAnsi="Trebuchet MS"/>
          <w:sz w:val="24"/>
          <w:szCs w:val="24"/>
        </w:rPr>
      </w:pPr>
      <w:r w:rsidRPr="00C35151">
        <w:rPr>
          <w:rFonts w:ascii="Trebuchet MS" w:hAnsi="Trebuchet MS"/>
          <w:b/>
          <w:bCs/>
          <w:sz w:val="24"/>
          <w:szCs w:val="24"/>
        </w:rPr>
        <w:t xml:space="preserve">BIBLIOGRAFIE </w:t>
      </w:r>
      <w:r>
        <w:rPr>
          <w:rFonts w:ascii="Trebuchet MS" w:hAnsi="Trebuchet MS"/>
          <w:b/>
          <w:bCs/>
          <w:sz w:val="24"/>
          <w:szCs w:val="24"/>
        </w:rPr>
        <w:t xml:space="preserve">ȘI TEMATICA </w:t>
      </w:r>
      <w:r w:rsidRPr="00C35151">
        <w:rPr>
          <w:rFonts w:ascii="Trebuchet MS" w:hAnsi="Trebuchet MS"/>
          <w:b/>
          <w:bCs/>
          <w:sz w:val="24"/>
          <w:szCs w:val="24"/>
        </w:rPr>
        <w:t>SPECIFIC</w:t>
      </w:r>
      <w:r>
        <w:rPr>
          <w:rFonts w:ascii="Trebuchet MS" w:hAnsi="Trebuchet MS"/>
          <w:b/>
          <w:bCs/>
          <w:sz w:val="24"/>
          <w:szCs w:val="24"/>
        </w:rPr>
        <w:t>Ă</w:t>
      </w:r>
      <w:r w:rsidRPr="00C35151">
        <w:rPr>
          <w:rFonts w:ascii="Trebuchet MS" w:hAnsi="Trebuchet MS"/>
          <w:b/>
          <w:bCs/>
          <w:sz w:val="24"/>
          <w:szCs w:val="24"/>
        </w:rPr>
        <w:t xml:space="preserve"> POSTULUI EXPERT 1A: </w:t>
      </w:r>
    </w:p>
    <w:p w:rsidR="00C30552" w:rsidRPr="00C35151" w:rsidRDefault="00C30552" w:rsidP="00C30552">
      <w:pPr>
        <w:pStyle w:val="ListParagraph"/>
        <w:numPr>
          <w:ilvl w:val="0"/>
          <w:numId w:val="2"/>
        </w:numPr>
        <w:spacing w:after="200" w:line="276" w:lineRule="auto"/>
        <w:ind w:leftChars="0" w:firstLineChars="0"/>
        <w:contextualSpacing/>
        <w:rPr>
          <w:rFonts w:ascii="Trebuchet MS" w:hAnsi="Trebuchet MS"/>
          <w:sz w:val="24"/>
          <w:szCs w:val="24"/>
        </w:rPr>
      </w:pPr>
      <w:r w:rsidRPr="00C35151">
        <w:rPr>
          <w:rFonts w:ascii="Trebuchet MS" w:hAnsi="Trebuchet MS"/>
          <w:sz w:val="24"/>
          <w:szCs w:val="24"/>
        </w:rPr>
        <w:t xml:space="preserve">Business Analyst - </w:t>
      </w:r>
      <w:r w:rsidRPr="00C35151">
        <w:rPr>
          <w:rFonts w:ascii="Trebuchet MS" w:hAnsi="Trebuchet MS"/>
          <w:b/>
          <w:bCs/>
          <w:sz w:val="24"/>
          <w:szCs w:val="24"/>
        </w:rPr>
        <w:t xml:space="preserve">https://en.wikipedia.org/wiki/Business_analyst </w:t>
      </w:r>
    </w:p>
    <w:p w:rsidR="00C30552" w:rsidRPr="00C35151" w:rsidRDefault="00C30552" w:rsidP="00C30552">
      <w:pPr>
        <w:pStyle w:val="ListParagraph"/>
        <w:numPr>
          <w:ilvl w:val="0"/>
          <w:numId w:val="2"/>
        </w:numPr>
        <w:spacing w:after="200" w:line="276" w:lineRule="auto"/>
        <w:ind w:leftChars="0" w:firstLineChars="0"/>
        <w:contextualSpacing/>
        <w:rPr>
          <w:rFonts w:ascii="Trebuchet MS" w:hAnsi="Trebuchet MS"/>
          <w:sz w:val="24"/>
          <w:szCs w:val="24"/>
        </w:rPr>
      </w:pPr>
      <w:r w:rsidRPr="00C35151">
        <w:rPr>
          <w:rFonts w:ascii="Trebuchet MS" w:hAnsi="Trebuchet MS"/>
          <w:sz w:val="24"/>
          <w:szCs w:val="24"/>
        </w:rPr>
        <w:t xml:space="preserve">Use case - </w:t>
      </w:r>
      <w:r w:rsidRPr="00C35151">
        <w:rPr>
          <w:rFonts w:ascii="Trebuchet MS" w:hAnsi="Trebuchet MS"/>
          <w:b/>
          <w:bCs/>
          <w:sz w:val="24"/>
          <w:szCs w:val="24"/>
        </w:rPr>
        <w:t xml:space="preserve">https://en.wikipedia.org/wiki/Use_case </w:t>
      </w:r>
    </w:p>
    <w:p w:rsidR="00C30552" w:rsidRPr="00C35151" w:rsidRDefault="00C30552" w:rsidP="00C30552">
      <w:pPr>
        <w:pStyle w:val="ListParagraph"/>
        <w:numPr>
          <w:ilvl w:val="0"/>
          <w:numId w:val="2"/>
        </w:numPr>
        <w:spacing w:after="200" w:line="276" w:lineRule="auto"/>
        <w:ind w:leftChars="0" w:firstLineChars="0"/>
        <w:contextualSpacing/>
        <w:rPr>
          <w:rFonts w:ascii="Trebuchet MS" w:hAnsi="Trebuchet MS"/>
          <w:sz w:val="24"/>
          <w:szCs w:val="24"/>
        </w:rPr>
      </w:pPr>
      <w:r w:rsidRPr="00C35151">
        <w:rPr>
          <w:rFonts w:ascii="Trebuchet MS" w:hAnsi="Trebuchet MS"/>
          <w:sz w:val="24"/>
          <w:szCs w:val="24"/>
        </w:rPr>
        <w:t xml:space="preserve">Test case - </w:t>
      </w:r>
      <w:r w:rsidRPr="00C35151">
        <w:rPr>
          <w:rFonts w:ascii="Trebuchet MS" w:hAnsi="Trebuchet MS"/>
          <w:b/>
          <w:bCs/>
          <w:sz w:val="24"/>
          <w:szCs w:val="24"/>
        </w:rPr>
        <w:t xml:space="preserve">https://en.wikipedia.org/wiki/Test_case </w:t>
      </w:r>
    </w:p>
    <w:p w:rsidR="00C30552" w:rsidRPr="00C35151" w:rsidRDefault="00C30552" w:rsidP="00C30552">
      <w:pPr>
        <w:pStyle w:val="ListParagraph"/>
        <w:numPr>
          <w:ilvl w:val="0"/>
          <w:numId w:val="2"/>
        </w:numPr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ascii="Trebuchet MS" w:hAnsi="Trebuchet MS"/>
          <w:sz w:val="24"/>
          <w:szCs w:val="24"/>
          <w:lang w:val="ro-RO"/>
        </w:rPr>
      </w:pPr>
      <w:r w:rsidRPr="00C35151">
        <w:rPr>
          <w:rFonts w:ascii="Trebuchet MS" w:hAnsi="Trebuchet MS"/>
          <w:sz w:val="24"/>
          <w:szCs w:val="24"/>
        </w:rPr>
        <w:t xml:space="preserve">Business requirements - </w:t>
      </w:r>
      <w:r w:rsidRPr="00C35151">
        <w:rPr>
          <w:rFonts w:ascii="Trebuchet MS" w:hAnsi="Trebuchet MS"/>
          <w:b/>
          <w:bCs/>
          <w:sz w:val="24"/>
          <w:szCs w:val="24"/>
        </w:rPr>
        <w:t>https://en.wikipedia.org/wiki/Business_requirements</w:t>
      </w:r>
    </w:p>
    <w:bookmarkEnd w:id="3"/>
    <w:p w:rsidR="00CA4641" w:rsidRDefault="00C30552">
      <w:pPr>
        <w:ind w:left="0" w:hanging="2"/>
      </w:pPr>
    </w:p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3C"/>
    <w:multiLevelType w:val="hybridMultilevel"/>
    <w:tmpl w:val="56D6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F63F9F"/>
    <w:multiLevelType w:val="hybridMultilevel"/>
    <w:tmpl w:val="123ABF5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5785C8A"/>
    <w:multiLevelType w:val="hybridMultilevel"/>
    <w:tmpl w:val="EC36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52"/>
    <w:rsid w:val="002041C0"/>
    <w:rsid w:val="00AA3034"/>
    <w:rsid w:val="00C30552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5B67"/>
  <w15:chartTrackingRefBased/>
  <w15:docId w15:val="{F96EB3FB-AFE3-4084-B435-6CDF83E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55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C30552"/>
    <w:rPr>
      <w:b/>
      <w:b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99"/>
    <w:qFormat/>
    <w:rsid w:val="00C30552"/>
    <w:pPr>
      <w:suppressAutoHyphens w:val="0"/>
      <w:spacing w:after="120" w:line="240" w:lineRule="auto"/>
      <w:ind w:left="720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ies.vmw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alina.ariton</dc:creator>
  <cp:keywords/>
  <dc:description/>
  <cp:lastModifiedBy>alina.ariton</cp:lastModifiedBy>
  <cp:revision>1</cp:revision>
  <dcterms:created xsi:type="dcterms:W3CDTF">2021-11-25T08:04:00Z</dcterms:created>
  <dcterms:modified xsi:type="dcterms:W3CDTF">2021-11-25T08:06:00Z</dcterms:modified>
</cp:coreProperties>
</file>