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5C2" w:rsidRDefault="00F065C2" w:rsidP="00F065C2">
      <w:pPr>
        <w:ind w:right="432"/>
        <w:jc w:val="center"/>
        <w:rPr>
          <w:rFonts w:ascii="Trebuchet MS" w:eastAsia="Times New Roman" w:hAnsi="Trebuchet MS" w:cs="Trebuchet MS"/>
          <w:b/>
          <w:bCs/>
          <w:color w:val="000000"/>
          <w:u w:val="single"/>
        </w:rPr>
      </w:pPr>
      <w:r w:rsidRPr="0097568E">
        <w:rPr>
          <w:rFonts w:ascii="Trebuchet MS" w:eastAsia="Times New Roman" w:hAnsi="Trebuchet MS" w:cs="Trebuchet MS"/>
          <w:b/>
          <w:bCs/>
          <w:color w:val="000000"/>
          <w:u w:val="single"/>
        </w:rPr>
        <w:t xml:space="preserve">Bibliografie </w:t>
      </w:r>
      <w:r>
        <w:rPr>
          <w:rFonts w:ascii="Trebuchet MS" w:eastAsia="Times New Roman" w:hAnsi="Trebuchet MS" w:cs="Trebuchet MS"/>
          <w:b/>
          <w:bCs/>
          <w:color w:val="000000"/>
          <w:u w:val="single"/>
        </w:rPr>
        <w:t xml:space="preserve">și tematică </w:t>
      </w:r>
      <w:r w:rsidRPr="0097568E">
        <w:rPr>
          <w:rFonts w:ascii="Trebuchet MS" w:eastAsia="Times New Roman" w:hAnsi="Trebuchet MS" w:cs="Trebuchet MS"/>
          <w:b/>
          <w:bCs/>
          <w:color w:val="000000"/>
          <w:u w:val="single"/>
        </w:rPr>
        <w:t xml:space="preserve">- </w:t>
      </w:r>
      <w:r>
        <w:rPr>
          <w:rFonts w:ascii="Trebuchet MS" w:eastAsia="Times New Roman" w:hAnsi="Trebuchet MS" w:cs="Trebuchet MS"/>
          <w:b/>
          <w:bCs/>
          <w:color w:val="000000"/>
          <w:u w:val="single"/>
        </w:rPr>
        <w:t>2</w:t>
      </w:r>
      <w:r w:rsidRPr="0097568E">
        <w:rPr>
          <w:rFonts w:ascii="Trebuchet MS" w:eastAsia="Times New Roman" w:hAnsi="Trebuchet MS" w:cs="Trebuchet MS"/>
          <w:b/>
          <w:bCs/>
          <w:color w:val="000000"/>
          <w:u w:val="single"/>
        </w:rPr>
        <w:t xml:space="preserve"> posturi Expert IT</w:t>
      </w:r>
    </w:p>
    <w:p w:rsidR="00F065C2" w:rsidRPr="0097568E" w:rsidRDefault="00F065C2" w:rsidP="00F065C2">
      <w:pPr>
        <w:ind w:right="432"/>
        <w:jc w:val="center"/>
        <w:rPr>
          <w:rFonts w:ascii="Trebuchet MS" w:eastAsia="Times New Roman" w:hAnsi="Trebuchet MS" w:cs="Trebuchet MS"/>
          <w:b/>
          <w:bCs/>
          <w:color w:val="000000"/>
          <w:u w:val="single"/>
        </w:rPr>
      </w:pPr>
    </w:p>
    <w:p w:rsidR="00F065C2" w:rsidRPr="0097568E" w:rsidRDefault="00F065C2" w:rsidP="00F065C2">
      <w:pPr>
        <w:ind w:right="432"/>
        <w:jc w:val="center"/>
        <w:rPr>
          <w:rFonts w:ascii="Trebuchet MS" w:eastAsia="Times New Roman" w:hAnsi="Trebuchet MS" w:cs="Trebuchet MS"/>
          <w:bCs/>
          <w:color w:val="000000"/>
        </w:rPr>
      </w:pPr>
    </w:p>
    <w:p w:rsidR="00F065C2" w:rsidRPr="0097568E"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Hotărârea Guvernului nr. 89/2020 privind organizarea și funcționarea Autorității pentru Digitalizarea României: </w:t>
      </w:r>
      <w:hyperlink r:id="rId5" w:history="1">
        <w:r w:rsidRPr="0097568E">
          <w:rPr>
            <w:rStyle w:val="Hyperlink"/>
            <w:rFonts w:ascii="Trebuchet MS" w:eastAsia="Times New Roman" w:hAnsi="Trebuchet MS" w:cs="Trebuchet MS"/>
            <w:bCs/>
          </w:rPr>
          <w:t>https://www.adr.gov.ro/atributii/</w:t>
        </w:r>
      </w:hyperlink>
      <w:r w:rsidRPr="0097568E">
        <w:rPr>
          <w:rFonts w:ascii="Trebuchet MS" w:eastAsia="Times New Roman" w:hAnsi="Trebuchet MS" w:cs="Trebuchet MS"/>
          <w:bCs/>
          <w:color w:val="000000"/>
        </w:rPr>
        <w:t>   </w:t>
      </w:r>
    </w:p>
    <w:p w:rsidR="00F065C2" w:rsidRPr="0097568E" w:rsidRDefault="00F065C2" w:rsidP="00F065C2">
      <w:pPr>
        <w:numPr>
          <w:ilvl w:val="0"/>
          <w:numId w:val="1"/>
        </w:numPr>
        <w:ind w:right="432"/>
        <w:rPr>
          <w:rFonts w:ascii="Trebuchet MS" w:eastAsia="Times New Roman" w:hAnsi="Trebuchet MS" w:cs="Trebuchet MS"/>
          <w:bCs/>
          <w:color w:val="000000"/>
        </w:rPr>
      </w:pPr>
      <w:r>
        <w:rPr>
          <w:rFonts w:ascii="Trebuchet MS" w:eastAsia="Times New Roman" w:hAnsi="Trebuchet MS" w:cs="Trebuchet MS"/>
          <w:bCs/>
          <w:color w:val="000000"/>
        </w:rPr>
        <w:t>P</w:t>
      </w:r>
      <w:r w:rsidRPr="0097568E">
        <w:rPr>
          <w:rFonts w:ascii="Trebuchet MS" w:eastAsia="Times New Roman" w:hAnsi="Trebuchet MS" w:cs="Trebuchet MS"/>
          <w:bCs/>
          <w:color w:val="000000"/>
        </w:rPr>
        <w:t>olitic</w:t>
      </w:r>
      <w:r>
        <w:rPr>
          <w:rFonts w:ascii="Trebuchet MS" w:eastAsia="Times New Roman" w:hAnsi="Trebuchet MS" w:cs="Trebuchet MS"/>
          <w:bCs/>
          <w:color w:val="000000"/>
        </w:rPr>
        <w:t>a</w:t>
      </w:r>
      <w:r w:rsidRPr="0097568E">
        <w:rPr>
          <w:rFonts w:ascii="Trebuchet MS" w:eastAsia="Times New Roman" w:hAnsi="Trebuchet MS" w:cs="Trebuchet MS"/>
          <w:bCs/>
          <w:color w:val="000000"/>
        </w:rPr>
        <w:t xml:space="preserve"> </w:t>
      </w:r>
      <w:r>
        <w:rPr>
          <w:rFonts w:ascii="Trebuchet MS" w:eastAsia="Times New Roman" w:hAnsi="Trebuchet MS" w:cs="Trebuchet MS"/>
          <w:bCs/>
          <w:color w:val="000000"/>
        </w:rPr>
        <w:t>P</w:t>
      </w:r>
      <w:r w:rsidRPr="0097568E">
        <w:rPr>
          <w:rFonts w:ascii="Trebuchet MS" w:eastAsia="Times New Roman" w:hAnsi="Trebuchet MS" w:cs="Trebuchet MS"/>
          <w:bCs/>
          <w:color w:val="000000"/>
        </w:rPr>
        <w:t xml:space="preserve">ublică în domeniul e-guvernării </w:t>
      </w:r>
      <w:hyperlink r:id="rId6" w:history="1">
        <w:r w:rsidRPr="00022CAD">
          <w:rPr>
            <w:rStyle w:val="Hyperlink"/>
            <w:rFonts w:ascii="Trebuchet MS" w:eastAsia="Times New Roman" w:hAnsi="Trebuchet MS" w:cs="Trebuchet MS"/>
            <w:bCs/>
          </w:rPr>
          <w:t>https://www.adr.gov.ro/wp-content/uploads/2021/07/Propunere-de-politica-publica-in-domeniul-e-guvernarii-adoptata-3-iun-2021.pdf</w:t>
        </w:r>
      </w:hyperlink>
      <w:r w:rsidRPr="0097568E">
        <w:rPr>
          <w:rFonts w:ascii="Trebuchet MS" w:eastAsia="Times New Roman" w:hAnsi="Trebuchet MS" w:cs="Trebuchet MS"/>
          <w:bCs/>
          <w:color w:val="000000"/>
        </w:rPr>
        <w:t>;</w:t>
      </w:r>
    </w:p>
    <w:p w:rsidR="00F065C2" w:rsidRPr="0097568E"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Programul Operaţional Competitivitate – 2014 – 2020 – Axa 2: </w:t>
      </w:r>
      <w:hyperlink r:id="rId7" w:history="1">
        <w:r w:rsidRPr="0097568E">
          <w:rPr>
            <w:rStyle w:val="Hyperlink"/>
            <w:rFonts w:ascii="Trebuchet MS" w:eastAsia="Times New Roman" w:hAnsi="Trebuchet MS" w:cs="Trebuchet MS"/>
            <w:bCs/>
          </w:rPr>
          <w:t>https://www.fonduriue.ro/images/files/programe/COMPETITIVITATE/POC/Programme_2014RO16RFOP001_2_0_ro.pdf</w:t>
        </w:r>
      </w:hyperlink>
    </w:p>
    <w:p w:rsidR="00F065C2" w:rsidRPr="0097568E"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p>
    <w:p w:rsidR="00F065C2" w:rsidRPr="0097568E"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F065C2" w:rsidRDefault="00F065C2" w:rsidP="00F065C2">
      <w:pPr>
        <w:numPr>
          <w:ilvl w:val="0"/>
          <w:numId w:val="1"/>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Default="00F065C2" w:rsidP="00F065C2">
      <w:pPr>
        <w:ind w:right="432"/>
        <w:rPr>
          <w:rFonts w:ascii="Trebuchet MS" w:eastAsia="Times New Roman" w:hAnsi="Trebuchet MS" w:cs="Trebuchet MS"/>
          <w:bCs/>
          <w:color w:val="000000"/>
        </w:rPr>
      </w:pPr>
    </w:p>
    <w:p w:rsidR="00F065C2" w:rsidRPr="0097568E" w:rsidRDefault="00F065C2" w:rsidP="00F065C2">
      <w:pPr>
        <w:spacing w:after="0" w:line="360" w:lineRule="auto"/>
        <w:ind w:right="387"/>
        <w:jc w:val="center"/>
        <w:rPr>
          <w:rFonts w:ascii="Trebuchet MS" w:hAnsi="Trebuchet MS"/>
          <w:b/>
          <w:u w:val="single"/>
        </w:rPr>
      </w:pPr>
      <w:r w:rsidRPr="0097568E">
        <w:rPr>
          <w:rFonts w:ascii="Trebuchet MS" w:eastAsia="Times New Roman" w:hAnsi="Trebuchet MS" w:cs="Trebuchet MS"/>
          <w:b/>
          <w:bCs/>
          <w:color w:val="000000"/>
          <w:u w:val="single"/>
        </w:rPr>
        <w:t xml:space="preserve">Bibliografie </w:t>
      </w:r>
      <w:r>
        <w:rPr>
          <w:rFonts w:ascii="Trebuchet MS" w:eastAsia="Times New Roman" w:hAnsi="Trebuchet MS" w:cs="Trebuchet MS"/>
          <w:b/>
          <w:bCs/>
          <w:color w:val="000000"/>
          <w:u w:val="single"/>
        </w:rPr>
        <w:t xml:space="preserve">și tematică </w:t>
      </w:r>
      <w:bookmarkStart w:id="0" w:name="_GoBack"/>
      <w:bookmarkEnd w:id="0"/>
      <w:r w:rsidRPr="0097568E">
        <w:rPr>
          <w:rFonts w:ascii="Trebuchet MS" w:eastAsia="Times New Roman" w:hAnsi="Trebuchet MS" w:cs="Trebuchet MS"/>
          <w:b/>
          <w:bCs/>
          <w:color w:val="000000"/>
          <w:u w:val="single"/>
        </w:rPr>
        <w:t xml:space="preserve">– </w:t>
      </w:r>
      <w:r w:rsidRPr="0097568E">
        <w:rPr>
          <w:rFonts w:ascii="Trebuchet MS" w:hAnsi="Trebuchet MS"/>
          <w:b/>
          <w:u w:val="single"/>
        </w:rPr>
        <w:t>1 post de Expert fina</w:t>
      </w:r>
      <w:r>
        <w:rPr>
          <w:rFonts w:ascii="Trebuchet MS" w:hAnsi="Trebuchet MS"/>
          <w:b/>
          <w:u w:val="single"/>
        </w:rPr>
        <w:t>n</w:t>
      </w:r>
      <w:r w:rsidRPr="0097568E">
        <w:rPr>
          <w:rFonts w:ascii="Trebuchet MS" w:hAnsi="Trebuchet MS"/>
          <w:b/>
          <w:u w:val="single"/>
        </w:rPr>
        <w:t>ciar</w:t>
      </w:r>
    </w:p>
    <w:p w:rsidR="00F065C2" w:rsidRPr="0097568E" w:rsidRDefault="00F065C2" w:rsidP="00F065C2">
      <w:pPr>
        <w:ind w:right="432"/>
        <w:jc w:val="center"/>
        <w:rPr>
          <w:rFonts w:ascii="Trebuchet MS" w:eastAsia="Times New Roman" w:hAnsi="Trebuchet MS" w:cs="Trebuchet MS"/>
          <w:b/>
          <w:bCs/>
          <w:color w:val="000000"/>
          <w:u w:val="single"/>
        </w:rPr>
      </w:pPr>
    </w:p>
    <w:p w:rsidR="00F065C2" w:rsidRPr="0097568E" w:rsidRDefault="00F065C2" w:rsidP="00F065C2">
      <w:pPr>
        <w:pStyle w:val="ListParagraph"/>
        <w:ind w:left="360" w:right="432"/>
        <w:rPr>
          <w:rFonts w:ascii="Trebuchet MS" w:eastAsia="Times New Roman" w:hAnsi="Trebuchet MS" w:cs="Trebuchet MS"/>
          <w:bCs/>
          <w:color w:val="000000"/>
        </w:rPr>
      </w:pPr>
    </w:p>
    <w:p w:rsidR="00F065C2" w:rsidRPr="0097568E" w:rsidRDefault="00F065C2" w:rsidP="00F065C2">
      <w:pPr>
        <w:pStyle w:val="ListParagraph"/>
        <w:numPr>
          <w:ilvl w:val="0"/>
          <w:numId w:val="2"/>
        </w:numPr>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Hotărârea Guvernului nr. 89/2020 privind organizarea și funcționarea Autorității pentru Digitalizarea României: </w:t>
      </w:r>
      <w:hyperlink r:id="rId8" w:history="1">
        <w:r w:rsidRPr="0097568E">
          <w:rPr>
            <w:rStyle w:val="Hyperlink"/>
            <w:rFonts w:ascii="Trebuchet MS" w:eastAsia="Times New Roman" w:hAnsi="Trebuchet MS" w:cs="Trebuchet MS"/>
            <w:bCs/>
          </w:rPr>
          <w:t>https://www.adr.gov.ro/atributii/</w:t>
        </w:r>
      </w:hyperlink>
      <w:r w:rsidRPr="0097568E">
        <w:rPr>
          <w:rFonts w:ascii="Trebuchet MS" w:eastAsia="Times New Roman" w:hAnsi="Trebuchet MS" w:cs="Trebuchet MS"/>
          <w:bCs/>
          <w:color w:val="000000"/>
        </w:rPr>
        <w:t xml:space="preserve"> </w:t>
      </w:r>
    </w:p>
    <w:p w:rsidR="00F065C2" w:rsidRPr="0097568E" w:rsidRDefault="00F065C2" w:rsidP="00F065C2">
      <w:pPr>
        <w:pStyle w:val="ListParagraph"/>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Strategia</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Na</w:t>
      </w:r>
      <w:r>
        <w:rPr>
          <w:rFonts w:ascii="Trebuchet MS" w:eastAsia="Times New Roman" w:hAnsi="Trebuchet MS" w:cs="Trebuchet MS"/>
          <w:bCs/>
          <w:color w:val="000000"/>
        </w:rPr>
        <w:t>ț</w:t>
      </w:r>
      <w:r w:rsidRPr="0097568E">
        <w:rPr>
          <w:rFonts w:ascii="Trebuchet MS" w:eastAsia="Times New Roman" w:hAnsi="Trebuchet MS" w:cs="Trebuchet MS"/>
          <w:bCs/>
          <w:color w:val="000000"/>
        </w:rPr>
        <w:t>ional</w:t>
      </w:r>
      <w:r>
        <w:rPr>
          <w:rFonts w:ascii="Trebuchet MS" w:eastAsia="Times New Roman" w:hAnsi="Trebuchet MS" w:cs="Trebuchet MS"/>
          <w:bCs/>
          <w:color w:val="000000"/>
        </w:rPr>
        <w:t>ă</w:t>
      </w:r>
      <w:r w:rsidRPr="0097568E">
        <w:rPr>
          <w:rFonts w:ascii="Trebuchet MS" w:eastAsia="Times New Roman" w:hAnsi="Trebuchet MS" w:cs="Trebuchet MS"/>
          <w:bCs/>
          <w:color w:val="000000"/>
        </w:rPr>
        <w:t xml:space="preserve"> pentru Agenda Digital</w:t>
      </w:r>
      <w:r>
        <w:rPr>
          <w:rFonts w:ascii="Trebuchet MS" w:eastAsia="Times New Roman" w:hAnsi="Trebuchet MS" w:cs="Trebuchet MS"/>
          <w:bCs/>
          <w:color w:val="000000"/>
        </w:rPr>
        <w:t>ă</w:t>
      </w:r>
      <w:r w:rsidRPr="0097568E">
        <w:rPr>
          <w:rFonts w:ascii="Trebuchet MS" w:eastAsia="Times New Roman" w:hAnsi="Trebuchet MS" w:cs="Trebuchet MS"/>
          <w:bCs/>
          <w:color w:val="000000"/>
        </w:rPr>
        <w:t xml:space="preserve"> pentru Rom</w:t>
      </w:r>
      <w:r>
        <w:rPr>
          <w:rFonts w:ascii="Trebuchet MS" w:eastAsia="Times New Roman" w:hAnsi="Trebuchet MS" w:cs="Trebuchet MS"/>
          <w:bCs/>
          <w:color w:val="000000"/>
        </w:rPr>
        <w:t>â</w:t>
      </w:r>
      <w:r w:rsidRPr="0097568E">
        <w:rPr>
          <w:rFonts w:ascii="Trebuchet MS" w:eastAsia="Times New Roman" w:hAnsi="Trebuchet MS" w:cs="Trebuchet MS"/>
          <w:bCs/>
          <w:color w:val="000000"/>
        </w:rPr>
        <w:t>nia 2020</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 nr.82/1991*R</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Legea contabilității, modificată și completată</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1917/2005</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pentru aprobarea Normelor metodologice privind organizarea și conducerea contabilității instituțiilor publice, Planul de conturi pentru instituțiile publice si instrucțiuni de aplicare a acesteia</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845/2014 pentru modificarea și completarea Normelor metodologice privind organizarea și conducerea contabilității instituțiilor publice, Planul de conturi pentru instituțiile publice si instrucțiuni de aplicare a acesteia</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Legea nr.500/2002 privind finanțele publice, cu modificările si completările ulterioare</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Legea nr.15/1994*** Republicată privind amortizarea capitalului imobilizat în activele corporale si necorporale</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HG 2139/2004 și HG 1496/2008 pentru aprobarea Catalogului privind clasificarea și  duratele normale de funcționare a mijloacelor fixe</w:t>
      </w:r>
    </w:p>
    <w:p w:rsidR="00F065C2" w:rsidRPr="0097568E" w:rsidRDefault="00F065C2" w:rsidP="00F065C2">
      <w:pPr>
        <w:pStyle w:val="ListParagraph"/>
        <w:spacing w:after="200" w:line="276" w:lineRule="auto"/>
        <w:ind w:left="360" w:right="432"/>
        <w:jc w:val="both"/>
        <w:rPr>
          <w:rFonts w:ascii="Trebuchet MS" w:eastAsia="Times New Roman" w:hAnsi="Trebuchet MS" w:cs="Trebuchet MS"/>
          <w:bCs/>
          <w:color w:val="000000"/>
        </w:rPr>
      </w:pPr>
    </w:p>
    <w:p w:rsidR="00F065C2" w:rsidRPr="0097568E" w:rsidRDefault="00F065C2" w:rsidP="00F065C2">
      <w:pPr>
        <w:pStyle w:val="ListParagraph"/>
        <w:numPr>
          <w:ilvl w:val="0"/>
          <w:numId w:val="2"/>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2634/2015 privind documentele financiar-contabile</w:t>
      </w:r>
    </w:p>
    <w:p w:rsidR="00F065C2" w:rsidRPr="00F065C2" w:rsidRDefault="00F065C2" w:rsidP="00F065C2">
      <w:pPr>
        <w:ind w:right="432"/>
      </w:pPr>
    </w:p>
    <w:p w:rsidR="00F065C2" w:rsidRPr="0097568E" w:rsidRDefault="00F065C2" w:rsidP="00F065C2">
      <w:pPr>
        <w:ind w:right="432"/>
        <w:rPr>
          <w:rFonts w:ascii="Trebuchet MS" w:eastAsia="Times New Roman" w:hAnsi="Trebuchet MS" w:cs="Trebuchet MS"/>
          <w:bCs/>
          <w:color w:val="000000"/>
        </w:rPr>
      </w:pPr>
    </w:p>
    <w:p w:rsidR="00F065C2" w:rsidRPr="0097568E" w:rsidRDefault="00F065C2" w:rsidP="00F065C2">
      <w:pPr>
        <w:ind w:right="432"/>
        <w:rPr>
          <w:rFonts w:ascii="Trebuchet MS" w:eastAsia="Times New Roman" w:hAnsi="Trebuchet MS" w:cs="Trebuchet MS"/>
          <w:bCs/>
          <w:color w:val="000000"/>
        </w:rPr>
      </w:pPr>
    </w:p>
    <w:p w:rsidR="00CA4641" w:rsidRDefault="00F065C2"/>
    <w:sectPr w:rsidR="00CA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E21F1"/>
    <w:multiLevelType w:val="hybridMultilevel"/>
    <w:tmpl w:val="DF0A0894"/>
    <w:lvl w:ilvl="0" w:tplc="00000002">
      <w:start w:val="1"/>
      <w:numFmt w:val="decimal"/>
      <w:lvlText w:val="%1."/>
      <w:lvlJc w:val="left"/>
      <w:pPr>
        <w:tabs>
          <w:tab w:val="num" w:pos="-720"/>
        </w:tabs>
        <w:ind w:left="360" w:hanging="360"/>
      </w:pPr>
      <w:rPr>
        <w:rFonts w:hint="default"/>
        <w:lang w:val="ro-R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9CE3607"/>
    <w:multiLevelType w:val="multilevel"/>
    <w:tmpl w:val="B470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C2"/>
    <w:rsid w:val="002041C0"/>
    <w:rsid w:val="00AA3034"/>
    <w:rsid w:val="00F065C2"/>
    <w:rsid w:val="00F8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641A"/>
  <w15:chartTrackingRefBased/>
  <w15:docId w15:val="{2F236D74-B9A4-4282-820E-AE6B0CF7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065C2"/>
    <w:pPr>
      <w:spacing w:after="160" w:line="259" w:lineRule="auto"/>
    </w:pPr>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C2"/>
    <w:rPr>
      <w:color w:val="0000FF" w:themeColor="hyperlink"/>
      <w:u w:val="single"/>
    </w:rPr>
  </w:style>
  <w:style w:type="paragraph" w:styleId="ListParagraph">
    <w:name w:val="List Paragraph"/>
    <w:basedOn w:val="Normal"/>
    <w:link w:val="ListParagraphChar"/>
    <w:uiPriority w:val="34"/>
    <w:qFormat/>
    <w:rsid w:val="00F065C2"/>
    <w:pPr>
      <w:ind w:left="720"/>
      <w:contextualSpacing/>
    </w:pPr>
  </w:style>
  <w:style w:type="character" w:customStyle="1" w:styleId="ListParagraphChar">
    <w:name w:val="List Paragraph Char"/>
    <w:link w:val="ListParagraph"/>
    <w:uiPriority w:val="34"/>
    <w:qFormat/>
    <w:locked/>
    <w:rsid w:val="00F065C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gov.ro/atributii/" TargetMode="External"/><Relationship Id="rId3" Type="http://schemas.openxmlformats.org/officeDocument/2006/relationships/settings" Target="settings.xml"/><Relationship Id="rId7" Type="http://schemas.openxmlformats.org/officeDocument/2006/relationships/hyperlink" Target="https://www.fonduriue.ro/images/files/programe/COMPETITIVITATE/POC/Programme_2014RO16RFOP001_2_0_r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r.gov.ro/wp-content/uploads/2021/07/Propunere-de-politica-publica-in-domeniul-e-guvernarii-adoptata-3-iun-2021.pdf" TargetMode="External"/><Relationship Id="rId5" Type="http://schemas.openxmlformats.org/officeDocument/2006/relationships/hyperlink" Target="https://www.adr.gov.ro/atribut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alina.ariton</dc:creator>
  <cp:keywords/>
  <dc:description/>
  <cp:lastModifiedBy>alina.ariton</cp:lastModifiedBy>
  <cp:revision>1</cp:revision>
  <dcterms:created xsi:type="dcterms:W3CDTF">2021-11-08T08:36:00Z</dcterms:created>
  <dcterms:modified xsi:type="dcterms:W3CDTF">2021-11-08T08:37:00Z</dcterms:modified>
</cp:coreProperties>
</file>