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E2A" w:rsidRPr="00711C1B" w:rsidRDefault="00D04E2A" w:rsidP="00D04E2A">
      <w:pPr>
        <w:spacing w:after="0" w:line="240" w:lineRule="auto"/>
        <w:ind w:firstLine="720"/>
        <w:jc w:val="both"/>
        <w:rPr>
          <w:rFonts w:ascii="Trebuchet MS" w:hAnsi="Trebuchet MS"/>
          <w:b/>
          <w:bCs/>
          <w:lang w:val="ro-RO"/>
        </w:rPr>
      </w:pPr>
      <w:r w:rsidRPr="00D04E2A">
        <w:rPr>
          <w:rFonts w:ascii="Trebuchet MS" w:hAnsi="Trebuchet MS" w:cstheme="minorHAnsi"/>
          <w:b/>
          <w:u w:val="single"/>
          <w:lang w:val="ro-RO"/>
        </w:rPr>
        <w:t>BIBLIOGRAFIA ȘI TEMATICA</w:t>
      </w:r>
      <w:r w:rsidRPr="00711C1B">
        <w:rPr>
          <w:rFonts w:ascii="Trebuchet MS" w:hAnsi="Trebuchet MS" w:cstheme="minorHAnsi"/>
          <w:b/>
          <w:lang w:val="ro-RO"/>
        </w:rPr>
        <w:t xml:space="preserve"> pentru posturile de Director Gr. II la </w:t>
      </w:r>
      <w:r w:rsidRPr="00711C1B">
        <w:rPr>
          <w:rFonts w:ascii="Trebuchet MS" w:hAnsi="Trebuchet MS"/>
          <w:b/>
          <w:lang w:val="ro-RO"/>
        </w:rPr>
        <w:t xml:space="preserve">Directia Economica, Achizitii Publice si Administrativ, respectiv </w:t>
      </w:r>
      <w:r w:rsidRPr="00711C1B">
        <w:rPr>
          <w:rFonts w:ascii="Trebuchet MS" w:hAnsi="Trebuchet MS" w:cstheme="minorHAnsi"/>
          <w:b/>
          <w:lang w:val="ro-RO"/>
        </w:rPr>
        <w:t xml:space="preserve"> de </w:t>
      </w:r>
      <w:r w:rsidRPr="00711C1B">
        <w:rPr>
          <w:rFonts w:ascii="Trebuchet MS" w:hAnsi="Trebuchet MS"/>
          <w:b/>
          <w:lang w:val="ro-RO"/>
        </w:rPr>
        <w:t>Șef Serviciu Gr. II la Serviciului Bugete, Financiar Contabilitate</w:t>
      </w:r>
      <w:r w:rsidRPr="00711C1B">
        <w:rPr>
          <w:rFonts w:ascii="Trebuchet MS" w:hAnsi="Trebuchet MS" w:cs="Trebuchet MS"/>
          <w:b/>
          <w:lang w:val="ro-RO"/>
        </w:rPr>
        <w:t xml:space="preserve"> din cadrul </w:t>
      </w:r>
      <w:r w:rsidRPr="00711C1B">
        <w:rPr>
          <w:rFonts w:ascii="Trebuchet MS" w:hAnsi="Trebuchet MS"/>
          <w:b/>
          <w:lang w:val="ro-RO"/>
        </w:rPr>
        <w:t>Directiei Economice, Achizitii Publice si Administrativ</w:t>
      </w:r>
      <w:r w:rsidRPr="00711C1B">
        <w:rPr>
          <w:rFonts w:ascii="Trebuchet MS" w:hAnsi="Trebuchet MS"/>
          <w:b/>
          <w:bCs/>
          <w:lang w:val="ro-RO"/>
        </w:rPr>
        <w:t>:</w:t>
      </w:r>
    </w:p>
    <w:p w:rsidR="00D04E2A" w:rsidRDefault="00D04E2A" w:rsidP="00D04E2A">
      <w:pPr>
        <w:spacing w:after="0" w:line="240" w:lineRule="auto"/>
        <w:jc w:val="both"/>
        <w:rPr>
          <w:rFonts w:ascii="Trebuchet MS" w:hAnsi="Trebuchet MS" w:cstheme="minorHAnsi"/>
          <w:b/>
          <w:bCs/>
          <w:u w:val="single"/>
          <w:lang w:val="ro-RO"/>
        </w:rPr>
      </w:pPr>
    </w:p>
    <w:p w:rsidR="00D04E2A" w:rsidRPr="006A0DE6" w:rsidRDefault="00D04E2A" w:rsidP="00D04E2A">
      <w:pPr>
        <w:pStyle w:val="ListParagraph"/>
        <w:numPr>
          <w:ilvl w:val="0"/>
          <w:numId w:val="12"/>
        </w:numPr>
        <w:spacing w:after="0" w:line="240" w:lineRule="auto"/>
        <w:ind w:left="360"/>
        <w:jc w:val="both"/>
        <w:rPr>
          <w:rFonts w:ascii="Trebuchet MS" w:hAnsi="Trebuchet MS" w:cstheme="minorHAnsi"/>
          <w:b/>
          <w:bCs/>
          <w:u w:val="single"/>
          <w:lang w:val="ro-RO"/>
        </w:rPr>
      </w:pPr>
      <w:r w:rsidRPr="006A0DE6">
        <w:rPr>
          <w:rFonts w:ascii="Trebuchet MS" w:hAnsi="Trebuchet MS" w:cstheme="minorHAnsi"/>
          <w:b/>
          <w:bCs/>
          <w:u w:val="single"/>
          <w:lang w:val="ro-RO"/>
        </w:rPr>
        <w:t>Bibliografia:</w:t>
      </w:r>
    </w:p>
    <w:p w:rsidR="00D04E2A" w:rsidRPr="006A0DE6" w:rsidRDefault="00D04E2A" w:rsidP="00D04E2A">
      <w:pPr>
        <w:pStyle w:val="ListParagraph"/>
        <w:spacing w:after="0" w:line="240" w:lineRule="auto"/>
        <w:ind w:left="1080"/>
        <w:jc w:val="both"/>
        <w:rPr>
          <w:rFonts w:ascii="Trebuchet MS" w:hAnsi="Trebuchet MS" w:cstheme="minorHAnsi"/>
          <w:b/>
          <w:bCs/>
          <w:u w:val="single"/>
          <w:lang w:val="ro-RO"/>
        </w:rPr>
      </w:pPr>
    </w:p>
    <w:p w:rsidR="00D04E2A" w:rsidRPr="006A0DE6" w:rsidRDefault="00D04E2A" w:rsidP="00D04E2A">
      <w:pPr>
        <w:pStyle w:val="Default"/>
        <w:spacing w:after="54"/>
        <w:rPr>
          <w:sz w:val="22"/>
          <w:szCs w:val="22"/>
          <w:lang w:val="ro-RO"/>
        </w:rPr>
      </w:pPr>
      <w:r w:rsidRPr="006A0DE6">
        <w:rPr>
          <w:sz w:val="22"/>
          <w:szCs w:val="22"/>
          <w:lang w:val="ro-RO"/>
        </w:rPr>
        <w:t xml:space="preserve">1. Constituția României, republicată </w:t>
      </w:r>
    </w:p>
    <w:p w:rsidR="00D04E2A" w:rsidRPr="006A0DE6" w:rsidRDefault="00D04E2A" w:rsidP="00D04E2A">
      <w:pPr>
        <w:pStyle w:val="Default"/>
        <w:spacing w:after="54"/>
        <w:rPr>
          <w:sz w:val="22"/>
          <w:szCs w:val="22"/>
          <w:lang w:val="ro-RO"/>
        </w:rPr>
      </w:pPr>
      <w:r w:rsidRPr="006A0DE6">
        <w:rPr>
          <w:sz w:val="22"/>
          <w:szCs w:val="22"/>
          <w:lang w:val="ro-RO"/>
        </w:rPr>
        <w:t xml:space="preserve">2. Titlul I și II ale părții aVI-a din Ordonanța de urgență a Guvernului nr. 57/2019 privind Codul administrativ, cu modificările și completările ulterioare </w:t>
      </w:r>
    </w:p>
    <w:p w:rsidR="00D04E2A" w:rsidRPr="006A0DE6" w:rsidRDefault="00D04E2A" w:rsidP="00D04E2A">
      <w:pPr>
        <w:pStyle w:val="Default"/>
        <w:spacing w:after="54"/>
        <w:rPr>
          <w:sz w:val="22"/>
          <w:szCs w:val="22"/>
          <w:lang w:val="ro-RO"/>
        </w:rPr>
      </w:pPr>
      <w:r w:rsidRPr="006A0DE6">
        <w:rPr>
          <w:sz w:val="22"/>
          <w:szCs w:val="22"/>
          <w:lang w:val="ro-RO"/>
        </w:rPr>
        <w:t xml:space="preserve">3. Ordonanța Guvernului nr. 137/2000 privind prevenirea și sancționarea tuturor formelor de discriminare, republicată, cu modificările și completările ulterioare </w:t>
      </w:r>
    </w:p>
    <w:p w:rsidR="00D04E2A" w:rsidRPr="006A0DE6" w:rsidRDefault="00D04E2A" w:rsidP="00D04E2A">
      <w:pPr>
        <w:pStyle w:val="Default"/>
        <w:spacing w:after="54"/>
        <w:rPr>
          <w:sz w:val="22"/>
          <w:szCs w:val="22"/>
          <w:lang w:val="ro-RO"/>
        </w:rPr>
      </w:pPr>
      <w:r w:rsidRPr="006A0DE6">
        <w:rPr>
          <w:sz w:val="22"/>
          <w:szCs w:val="22"/>
          <w:lang w:val="ro-RO"/>
        </w:rPr>
        <w:t>4. Legea nr. 2</w:t>
      </w:r>
      <w:r w:rsidR="00B91A56">
        <w:rPr>
          <w:sz w:val="22"/>
          <w:szCs w:val="22"/>
          <w:lang w:val="ro-RO"/>
        </w:rPr>
        <w:t>0</w:t>
      </w:r>
      <w:r w:rsidRPr="006A0DE6">
        <w:rPr>
          <w:sz w:val="22"/>
          <w:szCs w:val="22"/>
          <w:lang w:val="ro-RO"/>
        </w:rPr>
        <w:t xml:space="preserve">2/2002 privind egalitatea de șanse și de tratament între femei și bărbați, republicată, cu modificările și completările ulterioare </w:t>
      </w:r>
    </w:p>
    <w:p w:rsidR="00D04E2A" w:rsidRPr="006A0DE6" w:rsidRDefault="00D04E2A" w:rsidP="00D04E2A">
      <w:pPr>
        <w:pStyle w:val="Default"/>
        <w:spacing w:after="54"/>
        <w:rPr>
          <w:sz w:val="22"/>
          <w:szCs w:val="22"/>
          <w:lang w:val="ro-RO"/>
        </w:rPr>
      </w:pPr>
      <w:r w:rsidRPr="006A0DE6">
        <w:rPr>
          <w:sz w:val="22"/>
          <w:szCs w:val="22"/>
          <w:lang w:val="ro-RO"/>
        </w:rPr>
        <w:t xml:space="preserve">5. Hotărârea de Guvern nr. 89/2020 privind organizarea și funcționarea Autorității pentru Digitalizarea României, cu modificările ulterioare; </w:t>
      </w:r>
    </w:p>
    <w:p w:rsidR="00D04E2A" w:rsidRPr="006A0DE6" w:rsidRDefault="00D04E2A" w:rsidP="00D04E2A">
      <w:pPr>
        <w:pStyle w:val="Default"/>
        <w:spacing w:after="54"/>
        <w:rPr>
          <w:sz w:val="22"/>
          <w:szCs w:val="22"/>
          <w:lang w:val="ro-RO"/>
        </w:rPr>
      </w:pPr>
      <w:r w:rsidRPr="006A0DE6">
        <w:rPr>
          <w:sz w:val="22"/>
          <w:szCs w:val="22"/>
          <w:lang w:val="ro-RO"/>
        </w:rPr>
        <w:t xml:space="preserve">6. Legea contabilităţii nr.82/1991 cu modificările şi completările ulterioare; </w:t>
      </w:r>
    </w:p>
    <w:p w:rsidR="00D04E2A" w:rsidRPr="006A0DE6" w:rsidRDefault="00D04E2A" w:rsidP="00D04E2A">
      <w:pPr>
        <w:pStyle w:val="Default"/>
        <w:spacing w:after="54"/>
        <w:rPr>
          <w:sz w:val="22"/>
          <w:szCs w:val="22"/>
          <w:lang w:val="ro-RO"/>
        </w:rPr>
      </w:pPr>
      <w:r w:rsidRPr="006A0DE6">
        <w:rPr>
          <w:sz w:val="22"/>
          <w:szCs w:val="22"/>
          <w:lang w:val="ro-RO"/>
        </w:rPr>
        <w:t xml:space="preserve">7. Legea nr. 500/2002 privind finanţele publice, cu modificările şi completările ulterioare; </w:t>
      </w:r>
    </w:p>
    <w:p w:rsidR="00D04E2A" w:rsidRPr="006A0DE6" w:rsidRDefault="00D04E2A" w:rsidP="00D04E2A">
      <w:pPr>
        <w:pStyle w:val="Default"/>
        <w:spacing w:after="54"/>
        <w:rPr>
          <w:sz w:val="22"/>
          <w:szCs w:val="22"/>
          <w:lang w:val="ro-RO"/>
        </w:rPr>
      </w:pPr>
      <w:r w:rsidRPr="006A0DE6">
        <w:rPr>
          <w:sz w:val="22"/>
          <w:szCs w:val="22"/>
          <w:lang w:val="ro-RO"/>
        </w:rPr>
        <w:t xml:space="preserve">8. LEGE nr. 98 din 19 mai 2016 privind achiziţiile publice </w:t>
      </w:r>
    </w:p>
    <w:p w:rsidR="00D04E2A" w:rsidRPr="006A0DE6" w:rsidRDefault="00D04E2A" w:rsidP="00D04E2A">
      <w:pPr>
        <w:pStyle w:val="Default"/>
        <w:spacing w:after="54"/>
        <w:rPr>
          <w:sz w:val="22"/>
          <w:szCs w:val="22"/>
          <w:lang w:val="ro-RO"/>
        </w:rPr>
      </w:pPr>
      <w:r w:rsidRPr="006A0DE6">
        <w:rPr>
          <w:sz w:val="22"/>
          <w:szCs w:val="22"/>
          <w:lang w:val="ro-RO"/>
        </w:rPr>
        <w:t xml:space="preserve">9. Ordin M.F.P. nr. 1792/2002 pentru aprobarea Normelor metodologice privind angajarea, lichidarea, ordonanţarea şi plata cheltuielilor instituţiilor publice, precum şi organizarea, evidenţa şi raportarea angajamentelor bugetare şi legale, cu modificarile si completarile ulterioare; </w:t>
      </w:r>
    </w:p>
    <w:p w:rsidR="00D04E2A" w:rsidRPr="006A0DE6" w:rsidRDefault="00D04E2A" w:rsidP="00D04E2A">
      <w:pPr>
        <w:pStyle w:val="Default"/>
        <w:spacing w:after="54"/>
        <w:rPr>
          <w:sz w:val="22"/>
          <w:szCs w:val="22"/>
          <w:lang w:val="ro-RO"/>
        </w:rPr>
      </w:pPr>
      <w:r w:rsidRPr="006A0DE6">
        <w:rPr>
          <w:sz w:val="22"/>
          <w:szCs w:val="22"/>
          <w:lang w:val="ro-RO"/>
        </w:rPr>
        <w:t xml:space="preserve">10. Ordin M.F.P. nr. 2634/2015 privind documentele financiar-contabile; </w:t>
      </w:r>
    </w:p>
    <w:p w:rsidR="00D04E2A" w:rsidRPr="006A0DE6" w:rsidRDefault="00D04E2A" w:rsidP="00D04E2A">
      <w:pPr>
        <w:pStyle w:val="Default"/>
        <w:spacing w:after="54"/>
        <w:rPr>
          <w:sz w:val="22"/>
          <w:szCs w:val="22"/>
          <w:lang w:val="ro-RO"/>
        </w:rPr>
      </w:pPr>
      <w:r w:rsidRPr="006A0DE6">
        <w:rPr>
          <w:sz w:val="22"/>
          <w:szCs w:val="22"/>
          <w:lang w:val="ro-RO"/>
        </w:rPr>
        <w:t xml:space="preserve">11. OUG nr. 146/2002, Ordonanta de urgenta privind formarea si utilizarea resurselor derulate prin trezoreria statului, cu modificările şi completările ulterioare; </w:t>
      </w:r>
    </w:p>
    <w:p w:rsidR="00D04E2A" w:rsidRPr="006A0DE6" w:rsidRDefault="00D04E2A" w:rsidP="00D04E2A">
      <w:pPr>
        <w:pStyle w:val="Default"/>
        <w:spacing w:after="54"/>
        <w:rPr>
          <w:sz w:val="22"/>
          <w:szCs w:val="22"/>
          <w:lang w:val="ro-RO"/>
        </w:rPr>
      </w:pPr>
      <w:r w:rsidRPr="006A0DE6">
        <w:rPr>
          <w:sz w:val="22"/>
          <w:szCs w:val="22"/>
          <w:lang w:val="ro-RO"/>
        </w:rPr>
        <w:t xml:space="preserve">12. Ordin M.F.P. nr. 2861/2009 pentru aprobarea Normelor privind organizarea si efectuarea inventarierii elementelor de natura activelor, datoriilor si capitalurilor proprii, Norme privind organizarea si efectuarea inventarierii elementelor de natura activelor, datoriilor si capitalurilor proprii; </w:t>
      </w:r>
    </w:p>
    <w:p w:rsidR="00D04E2A" w:rsidRPr="006A0DE6" w:rsidRDefault="00D04E2A" w:rsidP="00D04E2A">
      <w:pPr>
        <w:pStyle w:val="Default"/>
        <w:spacing w:after="54"/>
        <w:rPr>
          <w:sz w:val="22"/>
          <w:szCs w:val="22"/>
          <w:lang w:val="ro-RO"/>
        </w:rPr>
      </w:pPr>
      <w:r w:rsidRPr="006A0DE6">
        <w:rPr>
          <w:sz w:val="22"/>
          <w:szCs w:val="22"/>
          <w:lang w:val="ro-RO"/>
        </w:rPr>
        <w:t xml:space="preserve">13. Ordin M.F.P. nr. 1917/2005 pentru aprobarea Normelor metodologice privind organizarea şi conducerea contabilităţii instituţiilor publice, Planul de conturi pentru instituţiile publice şi instrucţiunile de aplicare a acestuia, cu modificările şi completărilor ulterioare; </w:t>
      </w:r>
    </w:p>
    <w:p w:rsidR="00D04E2A" w:rsidRPr="006A0DE6" w:rsidRDefault="00D04E2A" w:rsidP="00D04E2A">
      <w:pPr>
        <w:pStyle w:val="Default"/>
        <w:rPr>
          <w:sz w:val="22"/>
          <w:szCs w:val="22"/>
          <w:lang w:val="ro-RO"/>
        </w:rPr>
      </w:pPr>
      <w:r w:rsidRPr="006A0DE6">
        <w:rPr>
          <w:sz w:val="22"/>
          <w:szCs w:val="22"/>
          <w:lang w:val="ro-RO"/>
        </w:rPr>
        <w:t xml:space="preserve">14. Ordin M.F.P. nr. 3471/2008 pentru aprobarea Normelor metodologice privind reevaluarea şi amortizarea activelor fixe corporale aflate în patrimoniul instituţiilor publice, cu modificările şi completărilor ulterioare. </w:t>
      </w:r>
    </w:p>
    <w:p w:rsidR="00D04E2A" w:rsidRPr="006A0DE6" w:rsidRDefault="00D04E2A" w:rsidP="00D04E2A">
      <w:pPr>
        <w:pStyle w:val="Default"/>
        <w:rPr>
          <w:sz w:val="22"/>
          <w:szCs w:val="22"/>
          <w:lang w:val="ro-RO"/>
        </w:rPr>
      </w:pPr>
    </w:p>
    <w:p w:rsidR="00D04E2A" w:rsidRPr="006A0DE6" w:rsidRDefault="00D04E2A" w:rsidP="00D04E2A">
      <w:pPr>
        <w:pStyle w:val="ListParagraph"/>
        <w:numPr>
          <w:ilvl w:val="0"/>
          <w:numId w:val="12"/>
        </w:numPr>
        <w:spacing w:before="240" w:after="0" w:line="360" w:lineRule="auto"/>
        <w:ind w:left="360"/>
        <w:jc w:val="both"/>
        <w:rPr>
          <w:rFonts w:ascii="Trebuchet MS" w:eastAsia="Times New Roman" w:hAnsi="Trebuchet MS" w:cs="Trebuchet MS"/>
          <w:b/>
          <w:bCs/>
          <w:color w:val="000000"/>
          <w:u w:val="single"/>
          <w:lang w:val="ro-RO"/>
        </w:rPr>
      </w:pPr>
      <w:r w:rsidRPr="006A0DE6">
        <w:rPr>
          <w:rFonts w:ascii="Trebuchet MS" w:hAnsi="Trebuchet MS" w:cstheme="minorHAnsi"/>
          <w:b/>
          <w:bCs/>
          <w:u w:val="single"/>
          <w:lang w:val="ro-RO"/>
        </w:rPr>
        <w:t>Tematica:</w:t>
      </w:r>
    </w:p>
    <w:p w:rsidR="00D04E2A" w:rsidRPr="006A0DE6" w:rsidRDefault="00D04E2A" w:rsidP="00D04E2A">
      <w:pPr>
        <w:pStyle w:val="Default"/>
        <w:spacing w:after="54"/>
        <w:rPr>
          <w:sz w:val="22"/>
          <w:szCs w:val="22"/>
          <w:lang w:val="ro-RO"/>
        </w:rPr>
      </w:pPr>
      <w:r w:rsidRPr="006A0DE6">
        <w:rPr>
          <w:sz w:val="22"/>
          <w:szCs w:val="22"/>
          <w:lang w:val="ro-RO"/>
        </w:rPr>
        <w:t>1. Constituția României, republicată</w:t>
      </w:r>
    </w:p>
    <w:p w:rsidR="00D04E2A" w:rsidRPr="006A0DE6" w:rsidRDefault="00D04E2A" w:rsidP="00D04E2A">
      <w:pPr>
        <w:pStyle w:val="Default"/>
        <w:spacing w:after="54"/>
        <w:rPr>
          <w:sz w:val="22"/>
          <w:szCs w:val="22"/>
          <w:lang w:val="ro-RO"/>
        </w:rPr>
      </w:pPr>
      <w:r w:rsidRPr="006A0DE6">
        <w:rPr>
          <w:sz w:val="22"/>
          <w:szCs w:val="22"/>
          <w:lang w:val="ro-RO"/>
        </w:rPr>
        <w:t>2. Titlul I și II ale părții aVI-a din Ordonanța de urgență a Guvernului nr. 57/2019 privind Codul administrativ, cu modificările și completările ulterioare</w:t>
      </w:r>
    </w:p>
    <w:p w:rsidR="00D04E2A" w:rsidRPr="006A0DE6" w:rsidRDefault="00D04E2A" w:rsidP="00D04E2A">
      <w:pPr>
        <w:pStyle w:val="Default"/>
        <w:spacing w:after="54"/>
        <w:rPr>
          <w:sz w:val="22"/>
          <w:szCs w:val="22"/>
          <w:lang w:val="ro-RO"/>
        </w:rPr>
      </w:pPr>
      <w:r w:rsidRPr="006A0DE6">
        <w:rPr>
          <w:sz w:val="22"/>
          <w:szCs w:val="22"/>
          <w:lang w:val="ro-RO"/>
        </w:rPr>
        <w:t>3. Ordonanța Guvernului nr. 137/2000 privind prevenirea și sancționarea tuturor formelor de discriminare, republicată, cu modificările și completările ulterioare</w:t>
      </w:r>
    </w:p>
    <w:p w:rsidR="00D04E2A" w:rsidRPr="006A0DE6" w:rsidRDefault="00D04E2A" w:rsidP="00D04E2A">
      <w:pPr>
        <w:pStyle w:val="Default"/>
        <w:spacing w:after="54"/>
        <w:rPr>
          <w:sz w:val="22"/>
          <w:szCs w:val="22"/>
          <w:lang w:val="ro-RO"/>
        </w:rPr>
      </w:pPr>
      <w:r w:rsidRPr="006A0DE6">
        <w:rPr>
          <w:sz w:val="22"/>
          <w:szCs w:val="22"/>
          <w:lang w:val="ro-RO"/>
        </w:rPr>
        <w:t>4. Legea nr. 2</w:t>
      </w:r>
      <w:r w:rsidR="00B91A56">
        <w:rPr>
          <w:sz w:val="22"/>
          <w:szCs w:val="22"/>
          <w:lang w:val="ro-RO"/>
        </w:rPr>
        <w:t>0</w:t>
      </w:r>
      <w:bookmarkStart w:id="0" w:name="_GoBack"/>
      <w:bookmarkEnd w:id="0"/>
      <w:r w:rsidRPr="006A0DE6">
        <w:rPr>
          <w:sz w:val="22"/>
          <w:szCs w:val="22"/>
          <w:lang w:val="ro-RO"/>
        </w:rPr>
        <w:t>2/2002 privind egalitatea de șanse și de tratament între femei și bărbați, republicată, cu modificările și completările ulterioare</w:t>
      </w:r>
    </w:p>
    <w:p w:rsidR="00D04E2A" w:rsidRPr="006A0DE6" w:rsidRDefault="00D04E2A" w:rsidP="00D04E2A">
      <w:pPr>
        <w:pStyle w:val="Default"/>
        <w:spacing w:after="54"/>
        <w:rPr>
          <w:sz w:val="22"/>
          <w:szCs w:val="22"/>
          <w:lang w:val="ro-RO"/>
        </w:rPr>
      </w:pPr>
      <w:r w:rsidRPr="006A0DE6">
        <w:rPr>
          <w:sz w:val="22"/>
          <w:szCs w:val="22"/>
          <w:lang w:val="ro-RO"/>
        </w:rPr>
        <w:t>5. Hotărârea de Guvern nr. 89/2020 privind organizarea și funcționarea Autorității pentru Digitalizarea României, cu modificările ulterioare;</w:t>
      </w:r>
    </w:p>
    <w:p w:rsidR="00D04E2A" w:rsidRPr="006A0DE6" w:rsidRDefault="00D04E2A" w:rsidP="00D04E2A">
      <w:pPr>
        <w:pStyle w:val="Default"/>
        <w:spacing w:after="54"/>
        <w:rPr>
          <w:sz w:val="22"/>
          <w:szCs w:val="22"/>
          <w:lang w:val="ro-RO"/>
        </w:rPr>
      </w:pPr>
      <w:r w:rsidRPr="006A0DE6">
        <w:rPr>
          <w:sz w:val="22"/>
          <w:szCs w:val="22"/>
          <w:lang w:val="ro-RO"/>
        </w:rPr>
        <w:lastRenderedPageBreak/>
        <w:t>6. Legea contabilităţii nr.82/1991 cu modificările şi completările ulterioare;</w:t>
      </w:r>
    </w:p>
    <w:p w:rsidR="00D04E2A" w:rsidRPr="006A0DE6" w:rsidRDefault="00D04E2A" w:rsidP="00D04E2A">
      <w:pPr>
        <w:pStyle w:val="Default"/>
        <w:spacing w:after="54"/>
        <w:rPr>
          <w:sz w:val="22"/>
          <w:szCs w:val="22"/>
          <w:lang w:val="ro-RO"/>
        </w:rPr>
      </w:pPr>
      <w:r w:rsidRPr="006A0DE6">
        <w:rPr>
          <w:sz w:val="22"/>
          <w:szCs w:val="22"/>
          <w:lang w:val="ro-RO"/>
        </w:rPr>
        <w:t>7. Legea nr. 500/2002 privind finanţele publice, cu modificările şi completările ulterioare; 8. LEGE nr. 98 din 19 mai 2016 privind achiziţiile publice</w:t>
      </w:r>
    </w:p>
    <w:p w:rsidR="00D04E2A" w:rsidRPr="006A0DE6" w:rsidRDefault="00D04E2A" w:rsidP="00D04E2A">
      <w:pPr>
        <w:pStyle w:val="Default"/>
        <w:spacing w:after="54"/>
        <w:rPr>
          <w:sz w:val="22"/>
          <w:szCs w:val="22"/>
          <w:lang w:val="ro-RO"/>
        </w:rPr>
      </w:pPr>
      <w:r w:rsidRPr="006A0DE6">
        <w:rPr>
          <w:sz w:val="22"/>
          <w:szCs w:val="22"/>
          <w:lang w:val="ro-RO"/>
        </w:rPr>
        <w:t>9. Ordin M.F.P. nr. 1792/2002 pentru aprobarea Normelor metodologice privind angajarea, lichidarea, ordonanţarea şi plata cheltuielilor instituţiilor publice, precum şi organizarea, evidenţa şi raportarea angajamentelor bugetare şi legale, cu modificarile si completarile ulterioare;</w:t>
      </w:r>
    </w:p>
    <w:p w:rsidR="00D04E2A" w:rsidRPr="006A0DE6" w:rsidRDefault="00D04E2A" w:rsidP="00D04E2A">
      <w:pPr>
        <w:pStyle w:val="Default"/>
        <w:spacing w:after="54"/>
        <w:rPr>
          <w:sz w:val="22"/>
          <w:szCs w:val="22"/>
          <w:lang w:val="ro-RO"/>
        </w:rPr>
      </w:pPr>
      <w:r w:rsidRPr="006A0DE6">
        <w:rPr>
          <w:sz w:val="22"/>
          <w:szCs w:val="22"/>
          <w:lang w:val="ro-RO"/>
        </w:rPr>
        <w:t>10. Ordin M.F.P. nr. 2634/2015 privind documentele financiar-contabile;</w:t>
      </w:r>
    </w:p>
    <w:p w:rsidR="00D04E2A" w:rsidRPr="006A0DE6" w:rsidRDefault="00D04E2A" w:rsidP="00D04E2A">
      <w:pPr>
        <w:pStyle w:val="Default"/>
        <w:spacing w:after="54"/>
        <w:rPr>
          <w:sz w:val="22"/>
          <w:szCs w:val="22"/>
          <w:lang w:val="ro-RO"/>
        </w:rPr>
      </w:pPr>
      <w:r w:rsidRPr="006A0DE6">
        <w:rPr>
          <w:sz w:val="22"/>
          <w:szCs w:val="22"/>
          <w:lang w:val="ro-RO"/>
        </w:rPr>
        <w:t>11. OUG nr. 146/2002, Ordonanta de urgenta privind formarea si utilizarea resurselor derulate prin trezoreria statului, cu modificările şi completările ulterioare;</w:t>
      </w:r>
    </w:p>
    <w:p w:rsidR="00D04E2A" w:rsidRPr="006A0DE6" w:rsidRDefault="00D04E2A" w:rsidP="00D04E2A">
      <w:pPr>
        <w:pStyle w:val="Default"/>
        <w:spacing w:after="54"/>
        <w:rPr>
          <w:sz w:val="22"/>
          <w:szCs w:val="22"/>
          <w:lang w:val="ro-RO"/>
        </w:rPr>
      </w:pPr>
      <w:r w:rsidRPr="006A0DE6">
        <w:rPr>
          <w:sz w:val="22"/>
          <w:szCs w:val="22"/>
          <w:lang w:val="ro-RO"/>
        </w:rPr>
        <w:t>12. Ordin M.F.P. nr. 2861/2009 pentru aprobarea Normelor privind organizarea si efectuarea inventarierii elementelor de natura activelor, datoriilor si capitalurilor proprii, Norme privind organizarea si efectuarea inventarierii elementelor de natura activelor, datoriilor si capitalurilor proprii;</w:t>
      </w:r>
    </w:p>
    <w:p w:rsidR="00D04E2A" w:rsidRPr="006A0DE6" w:rsidRDefault="00D04E2A" w:rsidP="00D04E2A">
      <w:pPr>
        <w:pStyle w:val="Default"/>
        <w:spacing w:after="54"/>
        <w:rPr>
          <w:sz w:val="22"/>
          <w:szCs w:val="22"/>
          <w:lang w:val="ro-RO"/>
        </w:rPr>
      </w:pPr>
      <w:r w:rsidRPr="006A0DE6">
        <w:rPr>
          <w:sz w:val="22"/>
          <w:szCs w:val="22"/>
          <w:lang w:val="ro-RO"/>
        </w:rPr>
        <w:t>13. Ordin M.F.P. nr. 1917/2005 pentru aprobarea Normelor metodologice privind organizarea şi conducerea contabilităţii instituţiilor publice, Planul de conturi pentru instituţiile publice şi instrucţiunile de aplicare a acestuia, cu modificările şi completărilor ulterioare;</w:t>
      </w:r>
    </w:p>
    <w:p w:rsidR="00D04E2A" w:rsidRPr="006A0DE6" w:rsidRDefault="00D04E2A" w:rsidP="00D04E2A">
      <w:pPr>
        <w:pStyle w:val="Default"/>
        <w:spacing w:after="54"/>
        <w:rPr>
          <w:sz w:val="22"/>
          <w:szCs w:val="22"/>
          <w:lang w:val="ro-RO"/>
        </w:rPr>
      </w:pPr>
      <w:r w:rsidRPr="006A0DE6">
        <w:rPr>
          <w:sz w:val="22"/>
          <w:szCs w:val="22"/>
          <w:lang w:val="ro-RO"/>
        </w:rPr>
        <w:t>14. Ordin M.F.P. nr. 3471/2008 pentru aprobarea Normelor metodologice privind reevaluarea şi amortizarea activelor fixe corporale aflate în patrimoniul instituţiilor publice, cu modificările şi completărilor ulterioare.</w:t>
      </w:r>
    </w:p>
    <w:p w:rsidR="00D04E2A" w:rsidRPr="006A0DE6" w:rsidRDefault="00D04E2A" w:rsidP="00D04E2A">
      <w:pPr>
        <w:pStyle w:val="NormalWeb"/>
        <w:spacing w:before="0" w:beforeAutospacing="0" w:after="0" w:afterAutospacing="0"/>
        <w:ind w:left="720"/>
        <w:jc w:val="both"/>
        <w:rPr>
          <w:rFonts w:ascii="Trebuchet MS" w:hAnsi="Trebuchet MS" w:cstheme="minorHAnsi"/>
          <w:sz w:val="22"/>
          <w:szCs w:val="22"/>
          <w:lang w:val="ro-RO"/>
        </w:rPr>
      </w:pPr>
    </w:p>
    <w:p w:rsidR="00D04E2A" w:rsidRPr="006A0DE6" w:rsidRDefault="00D04E2A" w:rsidP="00D04E2A">
      <w:pPr>
        <w:pStyle w:val="ListParagraph"/>
        <w:numPr>
          <w:ilvl w:val="0"/>
          <w:numId w:val="11"/>
        </w:numPr>
        <w:spacing w:after="0" w:line="240" w:lineRule="auto"/>
        <w:jc w:val="both"/>
        <w:rPr>
          <w:rFonts w:ascii="Trebuchet MS" w:hAnsi="Trebuchet MS" w:cstheme="minorHAnsi"/>
          <w:i/>
          <w:lang w:val="ro-RO"/>
        </w:rPr>
      </w:pPr>
      <w:r w:rsidRPr="006A0DE6">
        <w:rPr>
          <w:rFonts w:ascii="Trebuchet MS" w:hAnsi="Trebuchet MS" w:cstheme="minorHAnsi"/>
          <w:lang w:val="ro-RO"/>
        </w:rPr>
        <w:t>N</w:t>
      </w:r>
      <w:r w:rsidRPr="006A0DE6">
        <w:rPr>
          <w:rFonts w:ascii="Trebuchet MS" w:hAnsi="Trebuchet MS" w:cstheme="minorHAnsi"/>
          <w:i/>
          <w:lang w:val="ro-RO"/>
        </w:rPr>
        <w:t>otă: pentru toate actele normative, forma valabilă se considera aceea având toate modificările și completările ulterioare, până la zi.</w:t>
      </w:r>
    </w:p>
    <w:sectPr w:rsidR="00D04E2A" w:rsidRPr="006A0DE6" w:rsidSect="007E18A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424"/>
    <w:multiLevelType w:val="hybridMultilevel"/>
    <w:tmpl w:val="4FF49D8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720D7"/>
    <w:multiLevelType w:val="hybridMultilevel"/>
    <w:tmpl w:val="2228E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05E80"/>
    <w:multiLevelType w:val="hybridMultilevel"/>
    <w:tmpl w:val="578A9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A50C17"/>
    <w:multiLevelType w:val="hybridMultilevel"/>
    <w:tmpl w:val="A9A24188"/>
    <w:lvl w:ilvl="0" w:tplc="ADF65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F92424"/>
    <w:multiLevelType w:val="hybridMultilevel"/>
    <w:tmpl w:val="3E16233E"/>
    <w:lvl w:ilvl="0" w:tplc="FEA812C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BF73A55"/>
    <w:multiLevelType w:val="multilevel"/>
    <w:tmpl w:val="2102C4EC"/>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47123C34"/>
    <w:multiLevelType w:val="hybridMultilevel"/>
    <w:tmpl w:val="08809754"/>
    <w:lvl w:ilvl="0" w:tplc="963C2028">
      <w:numFmt w:val="bullet"/>
      <w:lvlText w:val="-"/>
      <w:lvlJc w:val="left"/>
      <w:pPr>
        <w:ind w:left="720" w:hanging="360"/>
      </w:pPr>
      <w:rPr>
        <w:rFonts w:ascii="Trebuchet MS" w:eastAsiaTheme="minorHAnsi" w:hAnsi="Trebuchet M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553D6"/>
    <w:multiLevelType w:val="hybridMultilevel"/>
    <w:tmpl w:val="40BA74CC"/>
    <w:lvl w:ilvl="0" w:tplc="770CA5C6">
      <w:numFmt w:val="bullet"/>
      <w:lvlText w:val="-"/>
      <w:lvlJc w:val="left"/>
      <w:pPr>
        <w:ind w:left="720" w:hanging="360"/>
      </w:pPr>
      <w:rPr>
        <w:rFonts w:ascii="Trebuchet MS" w:eastAsiaTheme="minorHAnsi" w:hAnsi="Trebuchet M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E6476"/>
    <w:multiLevelType w:val="hybridMultilevel"/>
    <w:tmpl w:val="63A8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747800"/>
    <w:multiLevelType w:val="hybridMultilevel"/>
    <w:tmpl w:val="4D7AA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BF383F"/>
    <w:multiLevelType w:val="hybridMultilevel"/>
    <w:tmpl w:val="B186E33C"/>
    <w:lvl w:ilvl="0" w:tplc="B09240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856919"/>
    <w:multiLevelType w:val="hybridMultilevel"/>
    <w:tmpl w:val="40489C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5"/>
  </w:num>
  <w:num w:numId="4">
    <w:abstractNumId w:val="11"/>
  </w:num>
  <w:num w:numId="5">
    <w:abstractNumId w:val="9"/>
  </w:num>
  <w:num w:numId="6">
    <w:abstractNumId w:val="6"/>
  </w:num>
  <w:num w:numId="7">
    <w:abstractNumId w:val="7"/>
  </w:num>
  <w:num w:numId="8">
    <w:abstractNumId w:val="2"/>
  </w:num>
  <w:num w:numId="9">
    <w:abstractNumId w:val="10"/>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F77"/>
    <w:rsid w:val="001C1CC7"/>
    <w:rsid w:val="00254F27"/>
    <w:rsid w:val="00322F77"/>
    <w:rsid w:val="00530E56"/>
    <w:rsid w:val="00566961"/>
    <w:rsid w:val="007E18A0"/>
    <w:rsid w:val="00B91A56"/>
    <w:rsid w:val="00D04E2A"/>
    <w:rsid w:val="00FF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379D"/>
  <w15:docId w15:val="{7A6A9606-E52F-4D85-8F4D-4F442592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E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536"/>
    <w:rPr>
      <w:color w:val="0000FF" w:themeColor="hyperlink"/>
      <w:u w:val="single"/>
    </w:rPr>
  </w:style>
  <w:style w:type="paragraph" w:styleId="ListParagraph">
    <w:name w:val="List Paragraph"/>
    <w:basedOn w:val="Normal"/>
    <w:link w:val="ListParagraphChar"/>
    <w:qFormat/>
    <w:rsid w:val="00FF1536"/>
    <w:pPr>
      <w:ind w:left="720"/>
      <w:contextualSpacing/>
    </w:pPr>
  </w:style>
  <w:style w:type="character" w:customStyle="1" w:styleId="ListParagraphChar">
    <w:name w:val="List Paragraph Char"/>
    <w:link w:val="ListParagraph"/>
    <w:locked/>
    <w:rsid w:val="00FF1536"/>
    <w:rPr>
      <w:rFonts w:ascii="Calibri" w:eastAsia="Calibri" w:hAnsi="Calibri" w:cs="Times New Roman"/>
    </w:rPr>
  </w:style>
  <w:style w:type="character" w:customStyle="1" w:styleId="salnbdy">
    <w:name w:val="s_aln_bdy"/>
    <w:basedOn w:val="DefaultParagraphFont"/>
    <w:rsid w:val="00FF1536"/>
  </w:style>
  <w:style w:type="paragraph" w:styleId="NormalWeb">
    <w:name w:val="Normal (Web)"/>
    <w:basedOn w:val="Normal"/>
    <w:uiPriority w:val="99"/>
    <w:unhideWhenUsed/>
    <w:rsid w:val="00FF1536"/>
    <w:pPr>
      <w:spacing w:before="100" w:beforeAutospacing="1" w:after="100" w:afterAutospacing="1" w:line="240" w:lineRule="auto"/>
    </w:pPr>
    <w:rPr>
      <w:rFonts w:ascii="Times New Roman" w:eastAsia="Times New Roman" w:hAnsi="Times New Roman"/>
      <w:sz w:val="24"/>
      <w:szCs w:val="24"/>
    </w:rPr>
  </w:style>
  <w:style w:type="character" w:customStyle="1" w:styleId="sden">
    <w:name w:val="s_den"/>
    <w:basedOn w:val="DefaultParagraphFont"/>
    <w:rsid w:val="00530E56"/>
  </w:style>
  <w:style w:type="paragraph" w:customStyle="1" w:styleId="Default">
    <w:name w:val="Default"/>
    <w:rsid w:val="00D04E2A"/>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720</Words>
  <Characters>4105</Characters>
  <Application>Microsoft Office Word</Application>
  <DocSecurity>0</DocSecurity>
  <Lines>34</Lines>
  <Paragraphs>9</Paragraphs>
  <ScaleCrop>false</ScaleCrop>
  <Company>HP</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carmen.bratu</dc:creator>
  <cp:keywords/>
  <dc:description/>
  <cp:lastModifiedBy>carmen.bratu</cp:lastModifiedBy>
  <cp:revision>8</cp:revision>
  <dcterms:created xsi:type="dcterms:W3CDTF">2021-06-16T12:15:00Z</dcterms:created>
  <dcterms:modified xsi:type="dcterms:W3CDTF">2021-11-25T12:15:00Z</dcterms:modified>
</cp:coreProperties>
</file>