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4D82" w14:textId="77777777" w:rsidR="001430A6" w:rsidRPr="009A2A6D" w:rsidRDefault="001430A6" w:rsidP="001C0037">
      <w:r w:rsidRPr="009A2A6D">
        <w:t>A</w:t>
      </w:r>
      <w:r>
        <w:t>NEXA</w:t>
      </w:r>
      <w:r w:rsidRPr="009A2A6D">
        <w:t xml:space="preserve"> 2</w:t>
      </w:r>
    </w:p>
    <w:p w14:paraId="37F868E4" w14:textId="77777777" w:rsidR="001430A6" w:rsidRDefault="001430A6" w:rsidP="001430A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14:paraId="4FDCC58C" w14:textId="77777777" w:rsidR="001430A6" w:rsidRPr="00A067E6" w:rsidRDefault="001430A6" w:rsidP="001430A6">
      <w:pPr>
        <w:ind w:right="306"/>
        <w:jc w:val="center"/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  <w:lang w:val="ro-RO"/>
        </w:rPr>
      </w:pPr>
      <w:proofErr w:type="spellStart"/>
      <w:r w:rsidRPr="00A067E6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Bibliografie</w:t>
      </w:r>
      <w:proofErr w:type="spellEnd"/>
      <w:r w:rsidRPr="00A067E6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 - 1 post Expert </w:t>
      </w:r>
      <w:proofErr w:type="spellStart"/>
      <w:r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comunicare</w:t>
      </w:r>
      <w:proofErr w:type="spellEnd"/>
      <w:r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organizare</w:t>
      </w:r>
      <w:proofErr w:type="spellEnd"/>
      <w:r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evenimente</w:t>
      </w:r>
      <w:proofErr w:type="spellEnd"/>
      <w:r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  <w:lang w:val="ro-RO"/>
        </w:rPr>
        <w:t>și implementare</w:t>
      </w:r>
    </w:p>
    <w:p w14:paraId="63937A14" w14:textId="77777777" w:rsidR="001430A6" w:rsidRPr="00A067E6" w:rsidRDefault="001430A6" w:rsidP="001430A6">
      <w:pPr>
        <w:pStyle w:val="ListParagraph"/>
        <w:numPr>
          <w:ilvl w:val="0"/>
          <w:numId w:val="1"/>
        </w:numPr>
        <w:ind w:left="-426" w:right="432" w:firstLine="90"/>
        <w:jc w:val="both"/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</w:pPr>
      <w:r w:rsidRPr="00A067E6">
        <w:rPr>
          <w:rFonts w:ascii="Trebuchet MS" w:eastAsia="Calibri" w:hAnsi="Trebuchet MS" w:cs="Times New Roman"/>
          <w:bCs/>
          <w:sz w:val="24"/>
          <w:szCs w:val="24"/>
        </w:rPr>
        <w:t>Constituţia României, republicată;</w:t>
      </w:r>
    </w:p>
    <w:p w14:paraId="2BBF3286" w14:textId="77777777" w:rsidR="001430A6" w:rsidRPr="00A067E6" w:rsidRDefault="001430A6" w:rsidP="001430A6">
      <w:pPr>
        <w:pStyle w:val="ListParagraph"/>
        <w:numPr>
          <w:ilvl w:val="0"/>
          <w:numId w:val="1"/>
        </w:numPr>
        <w:ind w:left="-426" w:right="432" w:firstLine="90"/>
        <w:jc w:val="both"/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</w:pPr>
      <w:r w:rsidRPr="00A067E6">
        <w:rPr>
          <w:rFonts w:ascii="Trebuchet MS" w:eastAsia="Calibri" w:hAnsi="Trebuchet MS" w:cs="Times New Roman"/>
          <w:bCs/>
          <w:sz w:val="24"/>
          <w:szCs w:val="24"/>
        </w:rPr>
        <w:t xml:space="preserve">Hotărârea Guvernului nr.  89/2020 privind organizarea şi funcţionarea Autorităţii    </w:t>
      </w:r>
    </w:p>
    <w:p w14:paraId="61020FAD" w14:textId="77777777" w:rsidR="001430A6" w:rsidRPr="00A067E6" w:rsidRDefault="001430A6" w:rsidP="001430A6">
      <w:pPr>
        <w:pStyle w:val="ListParagraph"/>
        <w:ind w:left="-426"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A067E6">
        <w:rPr>
          <w:rFonts w:ascii="Trebuchet MS" w:eastAsia="Calibri" w:hAnsi="Trebuchet MS" w:cs="Times New Roman"/>
          <w:bCs/>
          <w:sz w:val="24"/>
          <w:szCs w:val="24"/>
        </w:rPr>
        <w:t xml:space="preserve">      pentru Digitalizarea României, cu modificările și completările ulterioare;</w:t>
      </w:r>
    </w:p>
    <w:p w14:paraId="27204740" w14:textId="77777777" w:rsidR="001430A6" w:rsidRPr="00A067E6" w:rsidRDefault="001430A6" w:rsidP="001430A6">
      <w:pPr>
        <w:pStyle w:val="ListParagraph"/>
        <w:numPr>
          <w:ilvl w:val="0"/>
          <w:numId w:val="1"/>
        </w:numPr>
        <w:ind w:left="-426" w:right="432" w:firstLine="90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A067E6">
        <w:rPr>
          <w:rFonts w:ascii="Trebuchet MS" w:eastAsia="Calibri" w:hAnsi="Trebuchet MS" w:cs="Times New Roman"/>
          <w:bCs/>
          <w:sz w:val="24"/>
          <w:szCs w:val="24"/>
        </w:rPr>
        <w:t>Programul Operaţional Capacitate Administrativă </w:t>
      </w:r>
      <w:r w:rsidRPr="00A067E6">
        <w:rPr>
          <w:rFonts w:ascii="Trebuchet MS" w:hAnsi="Trebuchet MS"/>
          <w:sz w:val="24"/>
          <w:szCs w:val="24"/>
        </w:rPr>
        <w:fldChar w:fldCharType="begin"/>
      </w:r>
      <w:r w:rsidRPr="00A067E6">
        <w:rPr>
          <w:rFonts w:ascii="Trebuchet MS" w:hAnsi="Trebuchet MS"/>
          <w:sz w:val="24"/>
          <w:szCs w:val="24"/>
        </w:rPr>
        <w:instrText xml:space="preserve"> HYPERLINK "http://www.poca.ro" </w:instrText>
      </w:r>
      <w:r w:rsidRPr="00A067E6">
        <w:rPr>
          <w:rFonts w:ascii="Trebuchet MS" w:hAnsi="Trebuchet MS"/>
          <w:sz w:val="24"/>
          <w:szCs w:val="24"/>
        </w:rPr>
        <w:fldChar w:fldCharType="separate"/>
      </w:r>
      <w:r w:rsidRPr="00A067E6">
        <w:rPr>
          <w:rFonts w:ascii="Trebuchet MS" w:eastAsia="Calibri" w:hAnsi="Trebuchet MS" w:cs="Times New Roman"/>
          <w:bCs/>
          <w:sz w:val="24"/>
          <w:szCs w:val="24"/>
        </w:rPr>
        <w:t>www.poca.ro</w:t>
      </w:r>
      <w:r w:rsidRPr="00A067E6">
        <w:rPr>
          <w:rFonts w:ascii="Trebuchet MS" w:eastAsia="Calibri" w:hAnsi="Trebuchet MS" w:cs="Times New Roman"/>
          <w:bCs/>
          <w:sz w:val="24"/>
          <w:szCs w:val="24"/>
        </w:rPr>
        <w:fldChar w:fldCharType="end"/>
      </w:r>
      <w:r w:rsidRPr="00A067E6">
        <w:rPr>
          <w:rFonts w:ascii="Trebuchet MS" w:eastAsia="Calibri" w:hAnsi="Trebuchet MS" w:cs="Times New Roman"/>
          <w:bCs/>
          <w:sz w:val="24"/>
          <w:szCs w:val="24"/>
        </w:rPr>
        <w:t>;</w:t>
      </w:r>
    </w:p>
    <w:p w14:paraId="1C5A2F34" w14:textId="77777777" w:rsidR="001430A6" w:rsidRPr="00A067E6" w:rsidRDefault="001430A6" w:rsidP="001430A6">
      <w:pPr>
        <w:pStyle w:val="ListParagraph"/>
        <w:numPr>
          <w:ilvl w:val="0"/>
          <w:numId w:val="1"/>
        </w:numPr>
        <w:ind w:left="-426" w:right="432" w:firstLine="90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A067E6">
        <w:rPr>
          <w:rFonts w:ascii="Trebuchet MS" w:eastAsia="Calibri" w:hAnsi="Trebuchet MS" w:cs="Times New Roman"/>
          <w:bCs/>
          <w:sz w:val="24"/>
          <w:szCs w:val="24"/>
        </w:rPr>
        <w:t xml:space="preserve">Regulamentul (UE) nr. 1303/2013 al Parlamentului European și al Consiliului din 17     </w:t>
      </w:r>
    </w:p>
    <w:p w14:paraId="4AD1A645" w14:textId="77777777" w:rsidR="001430A6" w:rsidRPr="00A067E6" w:rsidRDefault="001430A6" w:rsidP="001430A6">
      <w:pPr>
        <w:pStyle w:val="ListParagraph"/>
        <w:ind w:left="-426"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A067E6">
        <w:rPr>
          <w:rFonts w:ascii="Trebuchet MS" w:eastAsia="Calibri" w:hAnsi="Trebuchet MS" w:cs="Times New Roman"/>
          <w:bCs/>
          <w:sz w:val="24"/>
          <w:szCs w:val="24"/>
        </w:rPr>
        <w:t xml:space="preserve">      decembrie 2013 de stabilire a unor dispoziții comune privind Fondul european de    </w:t>
      </w:r>
    </w:p>
    <w:p w14:paraId="67E490BC" w14:textId="77777777" w:rsidR="001430A6" w:rsidRPr="00A067E6" w:rsidRDefault="001430A6" w:rsidP="001430A6">
      <w:pPr>
        <w:pStyle w:val="ListParagraph"/>
        <w:ind w:left="-426"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A067E6">
        <w:rPr>
          <w:rFonts w:ascii="Trebuchet MS" w:eastAsia="Calibri" w:hAnsi="Trebuchet MS" w:cs="Times New Roman"/>
          <w:bCs/>
          <w:sz w:val="24"/>
          <w:szCs w:val="24"/>
        </w:rPr>
        <w:t xml:space="preserve">      dezvoltare regională, Fondul social european, Fondul de coeziune, Fondul european   </w:t>
      </w:r>
    </w:p>
    <w:p w14:paraId="46917D2C" w14:textId="77777777" w:rsidR="001430A6" w:rsidRDefault="001430A6" w:rsidP="001430A6">
      <w:pPr>
        <w:pStyle w:val="ListParagraph"/>
        <w:ind w:left="0"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A067E6">
        <w:rPr>
          <w:rFonts w:ascii="Trebuchet MS" w:eastAsia="Calibri" w:hAnsi="Trebuchet MS" w:cs="Times New Roman"/>
          <w:bCs/>
          <w:sz w:val="24"/>
          <w:szCs w:val="24"/>
        </w:rPr>
        <w:t xml:space="preserve">agricol pentru dezvoltare rurală și Fondul european pentru pescuit și afaceri maritime, </w:t>
      </w:r>
      <w:r w:rsidRPr="00AD192C">
        <w:rPr>
          <w:rFonts w:ascii="Trebuchet MS" w:eastAsia="Calibri" w:hAnsi="Trebuchet MS" w:cs="Times New Roman"/>
          <w:bCs/>
          <w:sz w:val="24"/>
          <w:szCs w:val="24"/>
        </w:rPr>
        <w:t>precum și de stabilire a unor dispoziții generale privind Fondul european de dezvoltare regională, Fondul social european, Fondul de coeziune și Fondul european pentru pescuit  și afaceri maritime și de abrogare a Regulamentului (CE) nr. 1083/2006 al Consiliulul</w:t>
      </w:r>
      <w:r>
        <w:rPr>
          <w:rFonts w:ascii="Trebuchet MS" w:eastAsia="Calibri" w:hAnsi="Trebuchet MS" w:cs="Times New Roman"/>
          <w:bCs/>
          <w:sz w:val="24"/>
          <w:szCs w:val="24"/>
        </w:rPr>
        <w:t>,</w:t>
      </w:r>
    </w:p>
    <w:p w14:paraId="567BEB02" w14:textId="77777777" w:rsidR="001430A6" w:rsidRPr="00AD192C" w:rsidRDefault="00000000" w:rsidP="001430A6">
      <w:pPr>
        <w:pStyle w:val="ListParagraph"/>
        <w:ind w:left="0"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hyperlink r:id="rId5" w:history="1">
        <w:r w:rsidR="001430A6" w:rsidRPr="00CB3C16">
          <w:rPr>
            <w:rStyle w:val="Hyperlink"/>
            <w:rFonts w:ascii="Trebuchet MS" w:eastAsia="Calibri" w:hAnsi="Trebuchet MS" w:cs="Times New Roman"/>
            <w:bCs/>
            <w:sz w:val="24"/>
            <w:szCs w:val="24"/>
          </w:rPr>
          <w:t>https</w:t>
        </w:r>
        <w:r w:rsidR="001430A6" w:rsidRPr="00CB3C16">
          <w:rPr>
            <w:rStyle w:val="Hyperlink"/>
            <w:rFonts w:ascii="Trebuchet MS" w:eastAsia="Calibri" w:hAnsi="Trebuchet MS" w:cs="Times New Roman"/>
            <w:bCs/>
            <w:sz w:val="24"/>
            <w:szCs w:val="24"/>
            <w:lang w:val="en-US"/>
          </w:rPr>
          <w:t>://eur-lex.europa.eu/legal-content/</w:t>
        </w:r>
        <w:proofErr w:type="spellStart"/>
        <w:r w:rsidR="001430A6" w:rsidRPr="00CB3C16">
          <w:rPr>
            <w:rStyle w:val="Hyperlink"/>
            <w:rFonts w:ascii="Trebuchet MS" w:eastAsia="Calibri" w:hAnsi="Trebuchet MS" w:cs="Times New Roman"/>
            <w:bCs/>
            <w:sz w:val="24"/>
            <w:szCs w:val="24"/>
            <w:lang w:val="en-US"/>
          </w:rPr>
          <w:t>ro</w:t>
        </w:r>
        <w:proofErr w:type="spellEnd"/>
        <w:r w:rsidR="001430A6" w:rsidRPr="00CB3C16">
          <w:rPr>
            <w:rStyle w:val="Hyperlink"/>
            <w:rFonts w:ascii="Trebuchet MS" w:eastAsia="Calibri" w:hAnsi="Trebuchet MS" w:cs="Times New Roman"/>
            <w:bCs/>
            <w:sz w:val="24"/>
            <w:szCs w:val="24"/>
            <w:lang w:val="en-US"/>
          </w:rPr>
          <w:t>/TXT/?</w:t>
        </w:r>
        <w:proofErr w:type="spellStart"/>
        <w:r w:rsidR="001430A6" w:rsidRPr="00CB3C16">
          <w:rPr>
            <w:rStyle w:val="Hyperlink"/>
            <w:rFonts w:ascii="Trebuchet MS" w:eastAsia="Calibri" w:hAnsi="Trebuchet MS" w:cs="Times New Roman"/>
            <w:bCs/>
            <w:sz w:val="24"/>
            <w:szCs w:val="24"/>
            <w:lang w:val="en-US"/>
          </w:rPr>
          <w:t>uri</w:t>
        </w:r>
        <w:proofErr w:type="spellEnd"/>
        <w:r w:rsidR="001430A6" w:rsidRPr="00CB3C16">
          <w:rPr>
            <w:rStyle w:val="Hyperlink"/>
            <w:rFonts w:ascii="Trebuchet MS" w:eastAsia="Calibri" w:hAnsi="Trebuchet MS" w:cs="Times New Roman"/>
            <w:bCs/>
            <w:sz w:val="24"/>
            <w:szCs w:val="24"/>
            <w:lang w:val="en-US"/>
          </w:rPr>
          <w:t>=celex:32013R1303</w:t>
        </w:r>
      </w:hyperlink>
    </w:p>
    <w:p w14:paraId="6AF38663" w14:textId="51B4279D" w:rsidR="001430A6" w:rsidRPr="008440DD" w:rsidRDefault="001430A6" w:rsidP="001430A6">
      <w:pPr>
        <w:pStyle w:val="ListParagraph"/>
        <w:numPr>
          <w:ilvl w:val="0"/>
          <w:numId w:val="1"/>
        </w:numPr>
        <w:ind w:left="-142" w:right="432" w:hanging="284"/>
        <w:jc w:val="both"/>
        <w:rPr>
          <w:rStyle w:val="Hyperlink"/>
          <w:rFonts w:ascii="Trebuchet MS" w:eastAsia="Calibri" w:hAnsi="Trebuchet MS" w:cs="Times New Roman"/>
          <w:bCs/>
          <w:color w:val="auto"/>
          <w:sz w:val="24"/>
          <w:szCs w:val="24"/>
          <w:u w:val="none"/>
          <w:lang w:val="en-US"/>
        </w:rPr>
      </w:pPr>
      <w:proofErr w:type="spellStart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>Politica</w:t>
      </w:r>
      <w:proofErr w:type="spellEnd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 xml:space="preserve"> </w:t>
      </w:r>
      <w:proofErr w:type="spellStart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>publică</w:t>
      </w:r>
      <w:proofErr w:type="spellEnd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 xml:space="preserve"> </w:t>
      </w:r>
      <w:proofErr w:type="spellStart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>în</w:t>
      </w:r>
      <w:proofErr w:type="spellEnd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 xml:space="preserve"> </w:t>
      </w:r>
      <w:proofErr w:type="spellStart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>domeniul</w:t>
      </w:r>
      <w:proofErr w:type="spellEnd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 xml:space="preserve"> e-</w:t>
      </w:r>
      <w:proofErr w:type="spellStart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>guvernării</w:t>
      </w:r>
      <w:proofErr w:type="spellEnd"/>
      <w:r w:rsidRPr="00A067E6">
        <w:rPr>
          <w:rFonts w:ascii="Trebuchet MS" w:eastAsia="Calibri" w:hAnsi="Trebuchet MS" w:cs="Times New Roman"/>
          <w:bCs/>
          <w:sz w:val="24"/>
          <w:szCs w:val="24"/>
          <w:lang w:val="en-US"/>
        </w:rPr>
        <w:t xml:space="preserve">: </w:t>
      </w:r>
      <w:hyperlink r:id="rId6" w:history="1">
        <w:r w:rsidRPr="00A067E6">
          <w:rPr>
            <w:rStyle w:val="Hyperlink"/>
            <w:rFonts w:ascii="Trebuchet MS" w:eastAsia="Calibri" w:hAnsi="Trebuchet MS" w:cs="Times New Roman"/>
            <w:bCs/>
            <w:sz w:val="24"/>
            <w:szCs w:val="24"/>
            <w:lang w:val="en-US"/>
          </w:rPr>
          <w:t>https://www.adr.gov.ro/wp-content/uploads/2020/08/Livrabil-A12_Propunere-de-politica-publica-in-domeniul-e-guvernarii.pdf</w:t>
        </w:r>
      </w:hyperlink>
    </w:p>
    <w:p w14:paraId="1CC08F1C" w14:textId="77777777" w:rsidR="008440DD" w:rsidRPr="008440DD" w:rsidRDefault="008440DD" w:rsidP="008440DD">
      <w:pPr>
        <w:pStyle w:val="ListParagraph"/>
        <w:numPr>
          <w:ilvl w:val="0"/>
          <w:numId w:val="1"/>
        </w:numPr>
        <w:spacing w:line="276" w:lineRule="auto"/>
        <w:ind w:left="0" w:right="432" w:hanging="426"/>
        <w:jc w:val="both"/>
        <w:rPr>
          <w:rStyle w:val="Hyperlink"/>
          <w:rFonts w:ascii="Trebuchet MS" w:hAnsi="Trebuchet MS"/>
          <w:sz w:val="24"/>
          <w:szCs w:val="24"/>
        </w:rPr>
      </w:pPr>
      <w:bookmarkStart w:id="0" w:name="_Hlk109310248"/>
      <w:r w:rsidRPr="008440DD">
        <w:rPr>
          <w:rFonts w:ascii="Trebuchet MS" w:eastAsia="Calibri" w:hAnsi="Trebuchet MS" w:cs="Times New Roman"/>
          <w:bCs/>
          <w:sz w:val="24"/>
          <w:szCs w:val="24"/>
        </w:rPr>
        <w:t xml:space="preserve">Manualul de utilizare My Smis 2014, Front Office: </w:t>
      </w:r>
      <w:hyperlink r:id="rId7" w:history="1">
        <w:r w:rsidRPr="008440DD">
          <w:rPr>
            <w:rStyle w:val="Hyperlink"/>
            <w:rFonts w:ascii="Trebuchet MS" w:hAnsi="Trebuchet MS"/>
            <w:sz w:val="24"/>
            <w:szCs w:val="24"/>
          </w:rPr>
          <w:t>https://mfe.gov.ro/my-smis/</w:t>
        </w:r>
      </w:hyperlink>
    </w:p>
    <w:p w14:paraId="223EF8CB" w14:textId="77777777" w:rsidR="008440DD" w:rsidRPr="00D606D4" w:rsidRDefault="008440DD" w:rsidP="008440DD">
      <w:pPr>
        <w:pStyle w:val="ListParagraph"/>
        <w:numPr>
          <w:ilvl w:val="0"/>
          <w:numId w:val="1"/>
        </w:numPr>
        <w:spacing w:line="276" w:lineRule="auto"/>
        <w:ind w:left="0" w:right="432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bookmarkStart w:id="1" w:name="_Hlk109224344"/>
      <w:r w:rsidRPr="008440DD">
        <w:rPr>
          <w:rFonts w:ascii="Trebuchet MS" w:eastAsia="Calibri" w:hAnsi="Trebuchet MS" w:cs="Times New Roman"/>
          <w:bCs/>
          <w:sz w:val="24"/>
          <w:szCs w:val="24"/>
        </w:rPr>
        <w:t>Legea nr.98/2016 privind achizițiile publice, cu modificările și completările ulterioare</w:t>
      </w:r>
      <w:r w:rsidRPr="00D606D4">
        <w:rPr>
          <w:rFonts w:ascii="Trebuchet MS" w:eastAsia="Calibri" w:hAnsi="Trebuchet MS" w:cs="Times New Roman"/>
          <w:bCs/>
          <w:sz w:val="20"/>
          <w:szCs w:val="20"/>
        </w:rPr>
        <w:t xml:space="preserve"> </w:t>
      </w:r>
    </w:p>
    <w:bookmarkEnd w:id="0"/>
    <w:bookmarkEnd w:id="1"/>
    <w:p w14:paraId="0760844F" w14:textId="77777777" w:rsidR="008440DD" w:rsidRPr="009A2A6D" w:rsidRDefault="008440DD" w:rsidP="008440DD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color w:val="auto"/>
          <w:sz w:val="24"/>
          <w:szCs w:val="24"/>
          <w:u w:val="none"/>
          <w:lang w:val="en-US"/>
        </w:rPr>
      </w:pPr>
    </w:p>
    <w:p w14:paraId="1B777BED" w14:textId="77777777" w:rsidR="001430A6" w:rsidRDefault="001430A6" w:rsidP="001430A6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sz w:val="24"/>
          <w:szCs w:val="24"/>
          <w:lang w:val="en-US"/>
        </w:rPr>
      </w:pPr>
    </w:p>
    <w:p w14:paraId="51DA0598" w14:textId="77777777" w:rsidR="001430A6" w:rsidRDefault="001430A6" w:rsidP="001430A6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sz w:val="24"/>
          <w:szCs w:val="24"/>
          <w:lang w:val="en-US"/>
        </w:rPr>
      </w:pPr>
    </w:p>
    <w:p w14:paraId="34157189" w14:textId="77777777" w:rsidR="001430A6" w:rsidRPr="009A2A6D" w:rsidRDefault="001430A6" w:rsidP="001430A6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color w:val="auto"/>
          <w:sz w:val="24"/>
          <w:szCs w:val="24"/>
          <w:u w:val="none"/>
          <w:lang w:val="en-US"/>
        </w:rPr>
      </w:pPr>
    </w:p>
    <w:p w14:paraId="35B15C07" w14:textId="77777777" w:rsidR="001430A6" w:rsidRPr="009A2A6D" w:rsidRDefault="001430A6" w:rsidP="001430A6">
      <w:pPr>
        <w:ind w:right="432"/>
        <w:jc w:val="center"/>
        <w:rPr>
          <w:rFonts w:ascii="Trebuchet MS" w:eastAsia="Times New Roman" w:hAnsi="Trebuchet MS" w:cs="Trebuchet MS"/>
          <w:bCs/>
          <w:color w:val="000000"/>
          <w:sz w:val="24"/>
          <w:szCs w:val="24"/>
          <w:u w:val="single"/>
        </w:rPr>
      </w:pPr>
      <w:proofErr w:type="spellStart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Tematică</w:t>
      </w:r>
      <w:proofErr w:type="spellEnd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– 1 post de Expert </w:t>
      </w:r>
      <w:proofErr w:type="spellStart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comunicare</w:t>
      </w:r>
      <w:proofErr w:type="spellEnd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organizare</w:t>
      </w:r>
      <w:proofErr w:type="spellEnd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evenimente</w:t>
      </w:r>
      <w:proofErr w:type="spellEnd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și</w:t>
      </w:r>
      <w:proofErr w:type="spellEnd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implementare</w:t>
      </w:r>
      <w:proofErr w:type="spellEnd"/>
    </w:p>
    <w:p w14:paraId="7024486A" w14:textId="77777777" w:rsidR="001430A6" w:rsidRPr="00B53101" w:rsidRDefault="001430A6" w:rsidP="001430A6">
      <w:pPr>
        <w:pStyle w:val="ListParagraph"/>
        <w:numPr>
          <w:ilvl w:val="0"/>
          <w:numId w:val="3"/>
        </w:numPr>
        <w:spacing w:line="276" w:lineRule="auto"/>
        <w:ind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B53101">
        <w:rPr>
          <w:rFonts w:ascii="Trebuchet MS" w:eastAsia="Calibri" w:hAnsi="Trebuchet MS" w:cs="Times New Roman"/>
          <w:bCs/>
          <w:sz w:val="24"/>
          <w:szCs w:val="24"/>
        </w:rPr>
        <w:t>Constituţia României, republicată:</w:t>
      </w:r>
      <w:r w:rsidRPr="00B53101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r w:rsidRPr="00B53101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</w:p>
    <w:p w14:paraId="3AFAFC79" w14:textId="77777777" w:rsidR="001430A6" w:rsidRPr="00B53101" w:rsidRDefault="001430A6" w:rsidP="001430A6">
      <w:pPr>
        <w:pStyle w:val="ListParagraph"/>
        <w:spacing w:line="276" w:lineRule="auto"/>
        <w:ind w:left="360"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B53101">
        <w:rPr>
          <w:rFonts w:ascii="Trebuchet MS" w:eastAsia="Calibri" w:hAnsi="Trebuchet MS" w:cs="Times New Roman"/>
          <w:bCs/>
          <w:sz w:val="24"/>
          <w:szCs w:val="24"/>
        </w:rPr>
        <w:t>TITLUL I - Principii generale.</w:t>
      </w:r>
    </w:p>
    <w:p w14:paraId="49B49270" w14:textId="77777777" w:rsidR="001430A6" w:rsidRPr="00B53101" w:rsidRDefault="001430A6" w:rsidP="001430A6">
      <w:pPr>
        <w:pStyle w:val="ListParagraph"/>
        <w:numPr>
          <w:ilvl w:val="0"/>
          <w:numId w:val="3"/>
        </w:numPr>
        <w:spacing w:line="276" w:lineRule="auto"/>
        <w:ind w:right="432"/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</w:pPr>
      <w:r w:rsidRPr="00B53101">
        <w:rPr>
          <w:rFonts w:ascii="Trebuchet MS" w:eastAsia="Calibri" w:hAnsi="Trebuchet MS" w:cs="Times New Roman"/>
          <w:bCs/>
          <w:sz w:val="24"/>
          <w:szCs w:val="24"/>
        </w:rPr>
        <w:t xml:space="preserve">Hotărârea Guvernului nr.  89/2020 privind organizarea şi funcţionarea Autorităţii  pentru Digitalizarea României, cu modificările și completările ulterioare </w:t>
      </w:r>
      <w:r w:rsidRPr="00B53101">
        <w:rPr>
          <w:rFonts w:ascii="Trebuchet MS" w:eastAsia="Calibri" w:hAnsi="Trebuchet MS" w:cs="Times New Roman"/>
          <w:b/>
          <w:sz w:val="24"/>
          <w:szCs w:val="24"/>
        </w:rPr>
        <w:t>(integral)</w:t>
      </w:r>
    </w:p>
    <w:p w14:paraId="2F629C6B" w14:textId="77777777" w:rsidR="001430A6" w:rsidRPr="00B53101" w:rsidRDefault="001430A6" w:rsidP="001430A6">
      <w:pPr>
        <w:pStyle w:val="ListParagraph"/>
        <w:numPr>
          <w:ilvl w:val="0"/>
          <w:numId w:val="3"/>
        </w:numPr>
        <w:ind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B53101">
        <w:rPr>
          <w:rFonts w:ascii="Trebuchet MS" w:eastAsia="Calibri" w:hAnsi="Trebuchet MS" w:cs="Times New Roman"/>
          <w:bCs/>
          <w:sz w:val="24"/>
          <w:szCs w:val="24"/>
        </w:rPr>
        <w:t>Programul Operaţional Capacitate Administrativă: </w:t>
      </w:r>
      <w:r w:rsidRPr="00B53101">
        <w:rPr>
          <w:rStyle w:val="Hyperlink"/>
          <w:rFonts w:ascii="Trebuchet MS" w:eastAsia="Calibri" w:hAnsi="Trebuchet MS" w:cs="Times New Roman"/>
          <w:b/>
          <w:color w:val="auto"/>
          <w:sz w:val="24"/>
          <w:szCs w:val="24"/>
        </w:rPr>
        <w:t>(integral)</w:t>
      </w:r>
    </w:p>
    <w:p w14:paraId="75178484" w14:textId="77777777" w:rsidR="001430A6" w:rsidRPr="00B53101" w:rsidRDefault="001430A6" w:rsidP="001430A6">
      <w:pPr>
        <w:pStyle w:val="ListParagraph"/>
        <w:numPr>
          <w:ilvl w:val="0"/>
          <w:numId w:val="3"/>
        </w:numPr>
        <w:spacing w:line="276" w:lineRule="auto"/>
        <w:ind w:right="432"/>
        <w:jc w:val="both"/>
        <w:rPr>
          <w:rFonts w:ascii="Trebuchet MS" w:eastAsia="Calibri" w:hAnsi="Trebuchet MS" w:cs="Times New Roman"/>
          <w:bCs/>
          <w:sz w:val="24"/>
          <w:szCs w:val="24"/>
          <w:lang w:val="en-US"/>
        </w:rPr>
      </w:pPr>
      <w:r w:rsidRPr="00B53101">
        <w:rPr>
          <w:rFonts w:ascii="Trebuchet MS" w:eastAsia="Calibri" w:hAnsi="Trebuchet MS" w:cs="Times New Roman"/>
          <w:bCs/>
          <w:sz w:val="24"/>
          <w:szCs w:val="24"/>
        </w:rPr>
        <w:t xml:space="preserve">Regulamentul (UE) nr. 1303/2013 al Parlamentului European și al Consiliului din </w:t>
      </w:r>
      <w:r>
        <w:rPr>
          <w:rFonts w:ascii="Trebuchet MS" w:eastAsia="Calibri" w:hAnsi="Trebuchet MS" w:cs="Times New Roman"/>
          <w:bCs/>
          <w:sz w:val="24"/>
          <w:szCs w:val="24"/>
        </w:rPr>
        <w:t xml:space="preserve">17 decembrie 2013 de stabilire a unor dispoziții comune privind Fondul European de dezvoltare regională, Fondul social european, Fondul de coeziune, Fondul european de dezvoltare rurală și Fondul european pentru peiscuit și afaceri </w:t>
      </w:r>
      <w:r>
        <w:rPr>
          <w:rFonts w:ascii="Trebuchet MS" w:eastAsia="Calibri" w:hAnsi="Trebuchet MS" w:cs="Times New Roman"/>
          <w:bCs/>
          <w:sz w:val="24"/>
          <w:szCs w:val="24"/>
        </w:rPr>
        <w:lastRenderedPageBreak/>
        <w:t>maritime, precum și de stabilire a unor dispoziții generale privind Fondul european de dezvoltare regională, Fondul social european, Fondul de coeziune și Fondul european pentru pescuit și afaceri maritime și de abrogare a Regulamentului (CE) nr. 1083/2006 al Consiliului</w:t>
      </w:r>
      <w:r>
        <w:rPr>
          <w:rFonts w:ascii="Trebuchet MS" w:eastAsia="Calibri" w:hAnsi="Trebuchet MS" w:cs="Times New Roman"/>
          <w:bCs/>
          <w:sz w:val="24"/>
          <w:szCs w:val="24"/>
          <w:lang w:val="en-US"/>
        </w:rPr>
        <w:t>:</w:t>
      </w:r>
    </w:p>
    <w:p w14:paraId="2243BF61" w14:textId="77777777" w:rsidR="001430A6" w:rsidRPr="00B53101" w:rsidRDefault="001430A6" w:rsidP="001430A6">
      <w:pPr>
        <w:pStyle w:val="ListParagraph"/>
        <w:numPr>
          <w:ilvl w:val="0"/>
          <w:numId w:val="2"/>
        </w:numPr>
        <w:spacing w:line="276" w:lineRule="auto"/>
        <w:ind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B53101">
        <w:rPr>
          <w:rFonts w:ascii="Trebuchet MS" w:hAnsi="Trebuchet MS"/>
          <w:sz w:val="24"/>
          <w:szCs w:val="24"/>
        </w:rPr>
        <w:t>Partea a doua Dispoziții comune aplicabile fondurilor ESI Titlul I principii privind contribuția uniunii la fondurile ESI</w:t>
      </w:r>
    </w:p>
    <w:p w14:paraId="1C11B6CB" w14:textId="77777777" w:rsidR="001430A6" w:rsidRPr="00B53101" w:rsidRDefault="001430A6" w:rsidP="001430A6">
      <w:pPr>
        <w:pStyle w:val="ListParagraph"/>
        <w:numPr>
          <w:ilvl w:val="0"/>
          <w:numId w:val="2"/>
        </w:numPr>
        <w:spacing w:line="276" w:lineRule="auto"/>
        <w:ind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B53101">
        <w:rPr>
          <w:rFonts w:ascii="Trebuchet MS" w:eastAsia="Calibri" w:hAnsi="Trebuchet MS" w:cs="Times New Roman"/>
          <w:bCs/>
          <w:sz w:val="24"/>
          <w:szCs w:val="24"/>
        </w:rPr>
        <w:t>Titlul II Abordarea strategică</w:t>
      </w:r>
    </w:p>
    <w:p w14:paraId="6E9E5951" w14:textId="5D2C5381" w:rsidR="001430A6" w:rsidRPr="00D33F81" w:rsidRDefault="001430A6" w:rsidP="001430A6">
      <w:pPr>
        <w:pStyle w:val="ListParagraph"/>
        <w:numPr>
          <w:ilvl w:val="0"/>
          <w:numId w:val="2"/>
        </w:numPr>
        <w:spacing w:line="276" w:lineRule="auto"/>
        <w:ind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B53101">
        <w:rPr>
          <w:rFonts w:ascii="Trebuchet MS" w:hAnsi="Trebuchet MS"/>
          <w:sz w:val="24"/>
          <w:szCs w:val="24"/>
        </w:rPr>
        <w:t>Titlul III Programare capitolul I dispoziții generale privind fondurile ESI</w:t>
      </w:r>
    </w:p>
    <w:p w14:paraId="088C740D" w14:textId="77777777" w:rsidR="00D33F81" w:rsidRPr="00B53101" w:rsidRDefault="00D33F81" w:rsidP="00D33F81">
      <w:pPr>
        <w:pStyle w:val="ListParagraph"/>
        <w:spacing w:line="276" w:lineRule="auto"/>
        <w:ind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</w:p>
    <w:p w14:paraId="1BAE478C" w14:textId="710BCD22" w:rsidR="00DA21F5" w:rsidRPr="00F9623C" w:rsidRDefault="001430A6" w:rsidP="00D33F81">
      <w:pPr>
        <w:pStyle w:val="ListParagraph"/>
        <w:numPr>
          <w:ilvl w:val="0"/>
          <w:numId w:val="3"/>
        </w:numPr>
      </w:pPr>
      <w:r w:rsidRPr="00D33F81">
        <w:rPr>
          <w:rFonts w:ascii="Trebuchet MS" w:eastAsia="Calibri" w:hAnsi="Trebuchet MS" w:cs="Times New Roman"/>
          <w:bCs/>
          <w:sz w:val="24"/>
          <w:szCs w:val="24"/>
        </w:rPr>
        <w:t>Politica publică în domeniul e-guvernării (</w:t>
      </w:r>
      <w:r w:rsidRPr="00D33F81">
        <w:rPr>
          <w:rFonts w:ascii="Trebuchet MS" w:eastAsia="Calibri" w:hAnsi="Trebuchet MS" w:cs="Times New Roman"/>
          <w:b/>
          <w:sz w:val="24"/>
          <w:szCs w:val="24"/>
        </w:rPr>
        <w:t>integral</w:t>
      </w:r>
      <w:r w:rsidRPr="00D33F81">
        <w:rPr>
          <w:rFonts w:ascii="Trebuchet MS" w:eastAsia="Calibri" w:hAnsi="Trebuchet MS" w:cs="Times New Roman"/>
          <w:bCs/>
          <w:sz w:val="24"/>
          <w:szCs w:val="24"/>
        </w:rPr>
        <w:t>)</w:t>
      </w:r>
    </w:p>
    <w:p w14:paraId="0B5CF8AB" w14:textId="77777777" w:rsidR="00F9623C" w:rsidRPr="00F9623C" w:rsidRDefault="00F9623C" w:rsidP="00F9623C">
      <w:pPr>
        <w:pStyle w:val="ListParagraph"/>
        <w:numPr>
          <w:ilvl w:val="0"/>
          <w:numId w:val="3"/>
        </w:numPr>
        <w:spacing w:line="276" w:lineRule="auto"/>
        <w:ind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F9623C">
        <w:rPr>
          <w:rFonts w:ascii="Trebuchet MS" w:eastAsia="Calibri" w:hAnsi="Trebuchet MS" w:cs="Times New Roman"/>
          <w:bCs/>
          <w:sz w:val="24"/>
          <w:szCs w:val="24"/>
        </w:rPr>
        <w:t xml:space="preserve">Manual de utilizare My Smis 2014, Front Office </w:t>
      </w:r>
      <w:r w:rsidRPr="00F9623C">
        <w:rPr>
          <w:rFonts w:ascii="Trebuchet MS" w:eastAsia="Calibri" w:hAnsi="Trebuchet MS" w:cs="Times New Roman"/>
          <w:b/>
          <w:sz w:val="24"/>
          <w:szCs w:val="24"/>
        </w:rPr>
        <w:t>(integral)</w:t>
      </w:r>
    </w:p>
    <w:p w14:paraId="08BC8108" w14:textId="77777777" w:rsidR="00F9623C" w:rsidRPr="00F9623C" w:rsidRDefault="00F9623C" w:rsidP="00F9623C">
      <w:pPr>
        <w:pStyle w:val="ListParagraph"/>
        <w:numPr>
          <w:ilvl w:val="0"/>
          <w:numId w:val="3"/>
        </w:numPr>
        <w:spacing w:line="276" w:lineRule="auto"/>
        <w:ind w:right="432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F9623C">
        <w:rPr>
          <w:rFonts w:ascii="Trebuchet MS" w:eastAsia="Calibri" w:hAnsi="Trebuchet MS" w:cs="Times New Roman"/>
          <w:bCs/>
          <w:sz w:val="24"/>
          <w:szCs w:val="24"/>
        </w:rPr>
        <w:t>Legea nr.98/2016 privind achizițiile publice, cu modificările și completările ulterioare</w:t>
      </w:r>
      <w:r w:rsidRPr="00F9623C">
        <w:rPr>
          <w:rFonts w:ascii="Trebuchet MS" w:eastAsia="Calibri" w:hAnsi="Trebuchet MS" w:cs="Times New Roman"/>
          <w:b/>
          <w:sz w:val="24"/>
          <w:szCs w:val="24"/>
        </w:rPr>
        <w:t>(integral)</w:t>
      </w:r>
    </w:p>
    <w:p w14:paraId="6CC99812" w14:textId="77777777" w:rsidR="00F9623C" w:rsidRDefault="00F9623C" w:rsidP="00F9623C">
      <w:pPr>
        <w:pStyle w:val="ListParagraph"/>
        <w:ind w:left="360"/>
      </w:pPr>
    </w:p>
    <w:sectPr w:rsidR="00F9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8C3"/>
    <w:multiLevelType w:val="hybridMultilevel"/>
    <w:tmpl w:val="0D361CBE"/>
    <w:lvl w:ilvl="0" w:tplc="7BB8B5E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3C1"/>
    <w:multiLevelType w:val="hybridMultilevel"/>
    <w:tmpl w:val="DC400708"/>
    <w:lvl w:ilvl="0" w:tplc="FFBA3E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D1420"/>
    <w:multiLevelType w:val="hybridMultilevel"/>
    <w:tmpl w:val="02329E68"/>
    <w:lvl w:ilvl="0" w:tplc="75246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3E6BC1"/>
    <w:multiLevelType w:val="hybridMultilevel"/>
    <w:tmpl w:val="31DC2DCA"/>
    <w:lvl w:ilvl="0" w:tplc="F30CDBCE">
      <w:start w:val="1"/>
      <w:numFmt w:val="decimal"/>
      <w:lvlText w:val="%1."/>
      <w:lvlJc w:val="left"/>
      <w:pPr>
        <w:ind w:left="1710" w:hanging="360"/>
      </w:pPr>
      <w:rPr>
        <w:rFonts w:ascii="Trebuchet MS" w:eastAsia="Times New Roman" w:hAnsi="Trebuchet MS" w:cs="Trebuchet M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458640352">
    <w:abstractNumId w:val="3"/>
  </w:num>
  <w:num w:numId="2" w16cid:durableId="1504125350">
    <w:abstractNumId w:val="0"/>
  </w:num>
  <w:num w:numId="3" w16cid:durableId="396901291">
    <w:abstractNumId w:val="1"/>
  </w:num>
  <w:num w:numId="4" w16cid:durableId="819418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6"/>
    <w:rsid w:val="000D6DBF"/>
    <w:rsid w:val="001430A6"/>
    <w:rsid w:val="001C0037"/>
    <w:rsid w:val="0024783E"/>
    <w:rsid w:val="008440DD"/>
    <w:rsid w:val="00D33F81"/>
    <w:rsid w:val="00DA21F5"/>
    <w:rsid w:val="00F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6CC2"/>
  <w15:chartTrackingRefBased/>
  <w15:docId w15:val="{5159B95F-45BA-424C-BE0A-8B794FB7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30A6"/>
    <w:pPr>
      <w:spacing w:after="160" w:line="259" w:lineRule="auto"/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qFormat/>
    <w:locked/>
    <w:rsid w:val="001430A6"/>
    <w:rPr>
      <w:lang w:val="ro-RO"/>
    </w:rPr>
  </w:style>
  <w:style w:type="character" w:styleId="Hyperlink">
    <w:name w:val="Hyperlink"/>
    <w:basedOn w:val="DefaultParagraphFont"/>
    <w:uiPriority w:val="99"/>
    <w:unhideWhenUsed/>
    <w:rsid w:val="001430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e.gov.ro/my-sm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r.gov.ro/wp-content/uploads/2020/08/Livrabil-A12_Propunere-de-politica-publica-in-domeniul-e-guvernarii.pdf" TargetMode="External"/><Relationship Id="rId5" Type="http://schemas.openxmlformats.org/officeDocument/2006/relationships/hyperlink" Target="https://eur-lex.europa.eu/legal-content/ro/TXT/?uri=celex:32013R13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Daniela Bogdan</cp:lastModifiedBy>
  <cp:revision>3</cp:revision>
  <dcterms:created xsi:type="dcterms:W3CDTF">2022-07-21T12:37:00Z</dcterms:created>
  <dcterms:modified xsi:type="dcterms:W3CDTF">2022-07-21T12:37:00Z</dcterms:modified>
</cp:coreProperties>
</file>