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1B54" w14:textId="77777777" w:rsidR="00A77361" w:rsidRPr="009A2A6D" w:rsidRDefault="00A77361" w:rsidP="00A773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9A2A6D">
        <w:rPr>
          <w:rFonts w:ascii="Trebuchet MS" w:hAnsi="Trebuchet MS" w:cs="Calibri"/>
          <w:b/>
          <w:bCs/>
          <w:sz w:val="24"/>
          <w:szCs w:val="24"/>
        </w:rPr>
        <w:t>A</w:t>
      </w:r>
      <w:r>
        <w:rPr>
          <w:rFonts w:ascii="Trebuchet MS" w:hAnsi="Trebuchet MS" w:cs="Calibri"/>
          <w:b/>
          <w:bCs/>
          <w:sz w:val="24"/>
          <w:szCs w:val="24"/>
        </w:rPr>
        <w:t>NEXA</w:t>
      </w:r>
      <w:r w:rsidRPr="009A2A6D">
        <w:rPr>
          <w:rFonts w:ascii="Trebuchet MS" w:hAnsi="Trebuchet MS" w:cs="Calibri"/>
          <w:b/>
          <w:bCs/>
          <w:sz w:val="24"/>
          <w:szCs w:val="24"/>
        </w:rPr>
        <w:t xml:space="preserve"> 1</w:t>
      </w:r>
    </w:p>
    <w:p w14:paraId="58B1548F" w14:textId="77777777" w:rsidR="00A77361" w:rsidRPr="00381892" w:rsidRDefault="00A77361" w:rsidP="00A773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</w:p>
    <w:p w14:paraId="2605D348" w14:textId="4F05AAA0" w:rsidR="00A77361" w:rsidRDefault="00A77361" w:rsidP="00A773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>Atribuții</w:t>
      </w:r>
      <w:proofErr w:type="spellEnd"/>
      <w:r w:rsidR="000C528B" w:rsidRPr="000C528B">
        <w:rPr>
          <w:rFonts w:ascii="Trebuchet MS" w:hAnsi="Trebuchet MS" w:cs="Calibri"/>
          <w:b/>
          <w:bCs/>
          <w:sz w:val="24"/>
          <w:szCs w:val="24"/>
          <w:u w:val="single"/>
        </w:rPr>
        <w:t xml:space="preserve"> </w:t>
      </w:r>
      <w:proofErr w:type="spellStart"/>
      <w:r w:rsidR="000C528B" w:rsidRPr="000C528B">
        <w:rPr>
          <w:rFonts w:ascii="Trebuchet MS" w:hAnsi="Trebuchet MS" w:cs="Calibri"/>
          <w:b/>
          <w:bCs/>
          <w:sz w:val="24"/>
          <w:szCs w:val="24"/>
          <w:u w:val="single"/>
        </w:rPr>
        <w:t>funcționale</w:t>
      </w:r>
      <w:proofErr w:type="spellEnd"/>
      <w:r w:rsidR="000C528B" w:rsidRPr="000C528B">
        <w:rPr>
          <w:rFonts w:ascii="Trebuchet MS" w:hAnsi="Trebuchet MS" w:cs="Calibri"/>
          <w:b/>
          <w:bCs/>
          <w:sz w:val="24"/>
          <w:szCs w:val="24"/>
          <w:u w:val="single"/>
        </w:rPr>
        <w:t xml:space="preserve"> ale </w:t>
      </w:r>
      <w:proofErr w:type="spellStart"/>
      <w:r w:rsidR="000C528B" w:rsidRPr="000C528B">
        <w:rPr>
          <w:rFonts w:ascii="Trebuchet MS" w:hAnsi="Trebuchet MS" w:cs="Calibri"/>
          <w:b/>
          <w:bCs/>
          <w:sz w:val="24"/>
          <w:szCs w:val="24"/>
          <w:u w:val="single"/>
        </w:rPr>
        <w:t>postului</w:t>
      </w:r>
      <w:proofErr w:type="spellEnd"/>
      <w:r w:rsidRPr="00381892">
        <w:rPr>
          <w:rFonts w:ascii="Trebuchet MS" w:hAnsi="Trebuchet MS" w:cs="Calibri"/>
          <w:b/>
          <w:bCs/>
          <w:sz w:val="24"/>
          <w:szCs w:val="24"/>
        </w:rPr>
        <w:t xml:space="preserve">: </w:t>
      </w:r>
    </w:p>
    <w:p w14:paraId="4887491F" w14:textId="77777777" w:rsidR="00A77361" w:rsidRPr="00381892" w:rsidRDefault="00A77361" w:rsidP="00A773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</w:p>
    <w:p w14:paraId="2417307F" w14:textId="22A9711C" w:rsidR="000C528B" w:rsidRPr="00834DD1" w:rsidRDefault="000C528B" w:rsidP="00D5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publicarea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comunicatelor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,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anu</w:t>
      </w:r>
      <w:r w:rsidR="00834DD1">
        <w:rPr>
          <w:rFonts w:ascii="Trebuchet MS" w:hAnsi="Trebuchet MS" w:cs="Calibri"/>
          <w:b/>
          <w:bCs/>
          <w:sz w:val="24"/>
          <w:szCs w:val="24"/>
        </w:rPr>
        <w:t>n</w:t>
      </w:r>
      <w:r w:rsidRPr="000C528B">
        <w:rPr>
          <w:rFonts w:ascii="Trebuchet MS" w:hAnsi="Trebuchet MS" w:cs="Calibri"/>
          <w:b/>
          <w:bCs/>
          <w:sz w:val="24"/>
          <w:szCs w:val="24"/>
        </w:rPr>
        <w:t>țurilor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proiectelor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aflate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în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dezbatere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publică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pe</w:t>
      </w:r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r w:rsidRPr="00834DD1">
        <w:rPr>
          <w:rFonts w:ascii="Trebuchet MS" w:hAnsi="Trebuchet MS" w:cs="Calibri"/>
          <w:b/>
          <w:bCs/>
          <w:sz w:val="24"/>
          <w:szCs w:val="24"/>
        </w:rPr>
        <w:t>site-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ul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instituției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, conform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solicitărilor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primite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de la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departamentele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din ADR;</w:t>
      </w:r>
    </w:p>
    <w:p w14:paraId="71FAA1B8" w14:textId="59CC0354" w:rsidR="000C528B" w:rsidRPr="00834DD1" w:rsidRDefault="000C528B" w:rsidP="00D5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actualizarea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conținutului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de pe site-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ul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instituției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, conform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solicitărilor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primite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de</w:t>
      </w:r>
      <w:r w:rsidR="00834DD1"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r w:rsidRPr="00834DD1">
        <w:rPr>
          <w:rFonts w:ascii="Trebuchet MS" w:hAnsi="Trebuchet MS" w:cs="Calibri"/>
          <w:b/>
          <w:bCs/>
          <w:sz w:val="24"/>
          <w:szCs w:val="24"/>
        </w:rPr>
        <w:t>la</w:t>
      </w:r>
      <w:r w:rsidR="00834DD1"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departamentele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din ADR;</w:t>
      </w:r>
    </w:p>
    <w:p w14:paraId="371B058F" w14:textId="69A17E82" w:rsidR="000C528B" w:rsidRPr="000C528B" w:rsidRDefault="000C528B" w:rsidP="00D5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publicarea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actualizarea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informațiilor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prezente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pe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conturile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social media ale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instituției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>;</w:t>
      </w:r>
    </w:p>
    <w:p w14:paraId="2411C087" w14:textId="282720A4" w:rsidR="000C528B" w:rsidRPr="00834DD1" w:rsidRDefault="000C528B" w:rsidP="00D5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redactarea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propuneri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texte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relevante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pentru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paginile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de social media ale</w:t>
      </w:r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instituției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,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luând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ca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reper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specificul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publicului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nevoile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sale -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în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special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prin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segmentarea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analizarea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publicului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țintă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pe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generații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>: millennials/Generation</w:t>
      </w:r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X/Generation Z,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manieră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în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care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mesajele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instituționale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vor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fi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mai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bine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receptate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,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iar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obiectivele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ADR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mai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ușor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îndeplinite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>;</w:t>
      </w:r>
    </w:p>
    <w:p w14:paraId="75F524C4" w14:textId="3B9DCC55" w:rsidR="000C528B" w:rsidRPr="00834DD1" w:rsidRDefault="000C528B" w:rsidP="00D54A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monitorizarea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gradului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interacțiune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al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comunității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,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interactivitatea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site-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ului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,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grafica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materialelor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prezentare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resursele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foto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video,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așa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încât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brandul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Autorității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să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fie</w:t>
      </w:r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autentic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credibil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>;</w:t>
      </w:r>
    </w:p>
    <w:p w14:paraId="395A6683" w14:textId="5FDD5260" w:rsidR="000C528B" w:rsidRPr="00834DD1" w:rsidRDefault="000C528B" w:rsidP="00D54A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contribuie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la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elaborarea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materialelor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grafice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urmează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a fi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publicate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pe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conturile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social media ale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instituției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>;</w:t>
      </w:r>
    </w:p>
    <w:p w14:paraId="24A29318" w14:textId="6590AA49" w:rsidR="000C528B" w:rsidRPr="00834DD1" w:rsidRDefault="000C528B" w:rsidP="00D54A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elaborează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materiale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suport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asistență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pentru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utilizarea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platformelor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gestionate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r w:rsidRPr="00834DD1">
        <w:rPr>
          <w:rFonts w:ascii="Trebuchet MS" w:hAnsi="Trebuchet MS" w:cs="Calibri"/>
          <w:b/>
          <w:bCs/>
          <w:sz w:val="24"/>
          <w:szCs w:val="24"/>
        </w:rPr>
        <w:t>de ADR;</w:t>
      </w:r>
    </w:p>
    <w:p w14:paraId="0BF1D7B0" w14:textId="5BE21569" w:rsidR="000C528B" w:rsidRPr="000C528B" w:rsidRDefault="000C528B" w:rsidP="00D54A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analizează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soluționează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documentele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care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îi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sunt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repartizate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spre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a fi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rezolvate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>;</w:t>
      </w:r>
    </w:p>
    <w:p w14:paraId="1C2799E3" w14:textId="4F77DF33" w:rsidR="000C528B" w:rsidRPr="00834DD1" w:rsidRDefault="000C528B" w:rsidP="00D54A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oferă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consultanță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online,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în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timp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real,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pentru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cetățenii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care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interacționează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cu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instituția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prin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intermediul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platformelor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online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social media;</w:t>
      </w:r>
    </w:p>
    <w:p w14:paraId="6AFA6D37" w14:textId="4A53FCA0" w:rsidR="000C528B" w:rsidRPr="00834DD1" w:rsidRDefault="000C528B" w:rsidP="00D54A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elaborează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rapoarte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interne cu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privire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la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mesajele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primite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,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răspunsurile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furnizate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statusul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solicitărilor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cetățenilor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>;</w:t>
      </w:r>
    </w:p>
    <w:p w14:paraId="4D79B36C" w14:textId="3ED07EF6" w:rsidR="000C528B" w:rsidRPr="00834DD1" w:rsidRDefault="000C528B" w:rsidP="00D54A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colaborează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cu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departamentele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din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cadrul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instituției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pentru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furnizarea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unor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informații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corecte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,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actualizate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complete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în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interacțiunile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online cu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cetățenii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>;</w:t>
      </w:r>
    </w:p>
    <w:p w14:paraId="1E2D7650" w14:textId="193094D3" w:rsidR="00DA21F5" w:rsidRPr="000C528B" w:rsidRDefault="000C528B" w:rsidP="00D54A3B">
      <w:pPr>
        <w:pStyle w:val="ListParagraph"/>
        <w:numPr>
          <w:ilvl w:val="0"/>
          <w:numId w:val="5"/>
        </w:numPr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aplică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cerințele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politicii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securitate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a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datelor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la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nivelul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ADR;</w:t>
      </w:r>
    </w:p>
    <w:p w14:paraId="5ED79A2E" w14:textId="61DCB08A" w:rsidR="000C528B" w:rsidRPr="00834DD1" w:rsidRDefault="000C528B" w:rsidP="00D5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colaborează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la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elaborarea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publicarea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trimestrială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>, pe site-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ul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ADR, a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Raportului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r w:rsidRPr="00834DD1">
        <w:rPr>
          <w:rFonts w:ascii="Trebuchet MS" w:hAnsi="Trebuchet MS" w:cs="Calibri"/>
          <w:b/>
          <w:bCs/>
          <w:sz w:val="24"/>
          <w:szCs w:val="24"/>
        </w:rPr>
        <w:t>Digitalizării;</w:t>
      </w:r>
    </w:p>
    <w:p w14:paraId="1042B99F" w14:textId="446ACA6B" w:rsidR="000C528B" w:rsidRPr="000C528B" w:rsidRDefault="000C528B" w:rsidP="00D5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actualizează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conținutul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informațiilor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accesibile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pe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pagina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de internet </w:t>
      </w:r>
      <w:proofErr w:type="gramStart"/>
      <w:r w:rsidRPr="000C528B">
        <w:rPr>
          <w:rFonts w:ascii="Trebuchet MS" w:hAnsi="Trebuchet MS" w:cs="Calibri"/>
          <w:b/>
          <w:bCs/>
          <w:sz w:val="24"/>
          <w:szCs w:val="24"/>
        </w:rPr>
        <w:t>a</w:t>
      </w:r>
      <w:proofErr w:type="gram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ADR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OIPSI;</w:t>
      </w:r>
    </w:p>
    <w:p w14:paraId="6DFAB846" w14:textId="1BD69FE7" w:rsidR="000C528B" w:rsidRPr="00834DD1" w:rsidRDefault="000C528B" w:rsidP="00D5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contribuie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la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elaborarea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raportărilor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şi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diferitelor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informaţii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referitoare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la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activitatea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Autorității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, solicitate de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alte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instituţii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din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administraţia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publică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centrală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şi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organizaţii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naționale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internaţionale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,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în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colaborare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cu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alte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structuri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specialitate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din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cadrul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Autorității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>;</w:t>
      </w:r>
    </w:p>
    <w:p w14:paraId="467C46F2" w14:textId="1A4D66B9" w:rsidR="000C528B" w:rsidRPr="000C528B" w:rsidRDefault="000C528B" w:rsidP="00D54A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elaborează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materiale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informare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suport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pentru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OIPSI;</w:t>
      </w:r>
    </w:p>
    <w:p w14:paraId="57B1D1D6" w14:textId="1FE8396C" w:rsidR="000C528B" w:rsidRPr="00834DD1" w:rsidRDefault="000C528B" w:rsidP="00D5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contribuie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alături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celelalte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departamentele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specialitate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din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cadrul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ADR la</w:t>
      </w:r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elaborarea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,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până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la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finalul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primului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trimestru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al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anului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în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curs, a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raportului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r w:rsidRPr="00834DD1">
        <w:rPr>
          <w:rFonts w:ascii="Trebuchet MS" w:hAnsi="Trebuchet MS" w:cs="Calibri"/>
          <w:b/>
          <w:bCs/>
          <w:sz w:val="24"/>
          <w:szCs w:val="24"/>
        </w:rPr>
        <w:lastRenderedPageBreak/>
        <w:t xml:space="preserve">cu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privire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la</w:t>
      </w:r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activitatea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realizare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administrare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a cloud-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ului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privat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guvernamental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pentru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anul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r w:rsidRPr="00834DD1">
        <w:rPr>
          <w:rFonts w:ascii="Trebuchet MS" w:hAnsi="Trebuchet MS" w:cs="Calibri"/>
          <w:b/>
          <w:bCs/>
          <w:sz w:val="24"/>
          <w:szCs w:val="24"/>
        </w:rPr>
        <w:t>precedent;</w:t>
      </w:r>
    </w:p>
    <w:p w14:paraId="353829B3" w14:textId="280AAC66" w:rsidR="000C528B" w:rsidRPr="00834DD1" w:rsidRDefault="000C528B" w:rsidP="00D5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oferă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asistență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publică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despre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platformelor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web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social media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gestionate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de ADR -</w:t>
      </w:r>
      <w:r w:rsidRPr="00834DD1">
        <w:rPr>
          <w:rFonts w:ascii="Trebuchet MS" w:hAnsi="Trebuchet MS" w:cs="Calibri"/>
          <w:b/>
          <w:bCs/>
          <w:sz w:val="24"/>
          <w:szCs w:val="24"/>
        </w:rPr>
        <w:t>OIPSI;</w:t>
      </w:r>
    </w:p>
    <w:p w14:paraId="31BF0BDB" w14:textId="2BD55A09" w:rsidR="000C528B" w:rsidRPr="00834DD1" w:rsidRDefault="000C528B" w:rsidP="00D5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oferă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suport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ajutor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pentru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utilizarea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identificarea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informațiilor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publice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se</w:t>
      </w:r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regăsesc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pe site-urile ADR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OIPSI;</w:t>
      </w:r>
    </w:p>
    <w:p w14:paraId="11A6D78F" w14:textId="7153AACA" w:rsidR="000C528B" w:rsidRPr="00834DD1" w:rsidRDefault="000C528B" w:rsidP="00D5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desfășoară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activități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informare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publică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cu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privire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la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acțiunile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activitățile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instituționale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ce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vizează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cloudul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guvernamental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>;</w:t>
      </w:r>
    </w:p>
    <w:p w14:paraId="775CC7B3" w14:textId="5D37C593" w:rsidR="000C528B" w:rsidRPr="00834DD1" w:rsidRDefault="000C528B" w:rsidP="00D5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respectă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cerințele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instituite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procedurile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operaționale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documentele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sistemului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de management al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calității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,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corespunzător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domeniului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sau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activitate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>;</w:t>
      </w:r>
    </w:p>
    <w:p w14:paraId="5E47CA66" w14:textId="4DE640DE" w:rsidR="000C528B" w:rsidRPr="00834DD1" w:rsidRDefault="000C528B" w:rsidP="00D5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îndeplineşte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, la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solicitarea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conducerii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Serviciului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,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alte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atribuţii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şi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soluţionează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alte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lucrări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care se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încadrează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în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specificul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serviciului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şi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în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limita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competenţă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>.</w:t>
      </w:r>
    </w:p>
    <w:p w14:paraId="42B655AA" w14:textId="6801289B" w:rsidR="000C528B" w:rsidRPr="000C528B" w:rsidRDefault="000C528B" w:rsidP="000C528B">
      <w:pPr>
        <w:rPr>
          <w:rFonts w:ascii="Trebuchet MS" w:hAnsi="Trebuchet MS" w:cs="Calibri"/>
          <w:b/>
          <w:bCs/>
          <w:sz w:val="24"/>
          <w:szCs w:val="24"/>
        </w:rPr>
      </w:pPr>
    </w:p>
    <w:p w14:paraId="0F7FC36A" w14:textId="5727E5A5" w:rsidR="000C528B" w:rsidRPr="000C528B" w:rsidRDefault="000C528B" w:rsidP="000C528B">
      <w:pPr>
        <w:rPr>
          <w:rFonts w:ascii="Trebuchet MS" w:hAnsi="Trebuchet MS" w:cs="Calibri"/>
          <w:b/>
          <w:bCs/>
          <w:sz w:val="24"/>
          <w:szCs w:val="24"/>
          <w:u w:val="single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>Atribuții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>referitoare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 xml:space="preserve"> la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>perfecționarea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>continuă</w:t>
      </w:r>
      <w:proofErr w:type="spellEnd"/>
    </w:p>
    <w:p w14:paraId="45B97213" w14:textId="54143583" w:rsidR="000C528B" w:rsidRPr="00834DD1" w:rsidRDefault="000C528B" w:rsidP="00D5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Participarea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la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cursuri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seminarii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privind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problematicile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specifice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domeniului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de</w:t>
      </w:r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activitate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>.</w:t>
      </w:r>
    </w:p>
    <w:p w14:paraId="76078756" w14:textId="19DFF3D8" w:rsidR="000C528B" w:rsidRDefault="000C528B" w:rsidP="000C528B">
      <w:pPr>
        <w:rPr>
          <w:rFonts w:ascii="Calibri" w:hAnsi="Calibri" w:cs="Calibri"/>
          <w:sz w:val="24"/>
          <w:szCs w:val="24"/>
        </w:rPr>
      </w:pPr>
    </w:p>
    <w:p w14:paraId="3F9A53DA" w14:textId="072B90BD" w:rsidR="000C528B" w:rsidRDefault="000C528B" w:rsidP="000C528B">
      <w:pPr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>Atribuții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 xml:space="preserve"> legate de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>competența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>decizională</w:t>
      </w:r>
      <w:proofErr w:type="spellEnd"/>
      <w:r>
        <w:rPr>
          <w:rFonts w:ascii="Trebuchet MS" w:hAnsi="Trebuchet MS" w:cs="Calibri"/>
          <w:b/>
          <w:bCs/>
          <w:sz w:val="24"/>
          <w:szCs w:val="24"/>
        </w:rPr>
        <w:t>:</w:t>
      </w:r>
    </w:p>
    <w:p w14:paraId="2999AA01" w14:textId="09A8EFBF" w:rsidR="000C528B" w:rsidRPr="000C528B" w:rsidRDefault="000C528B" w:rsidP="00D5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rebuchet MS" w:eastAsia="SymbolMT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Asumarea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responsabilității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pentru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activitatea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desfășurată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și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deciziile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luate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;</w:t>
      </w:r>
    </w:p>
    <w:p w14:paraId="4C1357CC" w14:textId="0456E3FF" w:rsidR="000C528B" w:rsidRPr="00834DD1" w:rsidRDefault="000C528B" w:rsidP="00D5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rebuchet MS" w:eastAsia="SymbolMT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Sesizarea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persoanelor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ierarhic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superioare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în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cazul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neîndeplinirii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unor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obiective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și</w:t>
      </w:r>
      <w:proofErr w:type="spellEnd"/>
      <w:r w:rsidR="00834DD1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>elaborarea</w:t>
      </w:r>
      <w:proofErr w:type="spellEnd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>unui</w:t>
      </w:r>
      <w:proofErr w:type="spellEnd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 xml:space="preserve"> set </w:t>
      </w:r>
      <w:proofErr w:type="spellStart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>decizional</w:t>
      </w:r>
      <w:proofErr w:type="spellEnd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>pentru</w:t>
      </w:r>
      <w:proofErr w:type="spellEnd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>soluționarea</w:t>
      </w:r>
      <w:proofErr w:type="spellEnd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>deficiențelor</w:t>
      </w:r>
      <w:proofErr w:type="spellEnd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>;</w:t>
      </w:r>
    </w:p>
    <w:p w14:paraId="355E121C" w14:textId="642B233A" w:rsidR="000C528B" w:rsidRPr="00834DD1" w:rsidRDefault="000C528B" w:rsidP="00D54A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rebuchet MS" w:eastAsia="SymbolMT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Rezolvarea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cu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promptitudine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și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eficiență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gram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a</w:t>
      </w:r>
      <w:proofErr w:type="gram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eventualelor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întrebări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sau</w:t>
      </w:r>
      <w:proofErr w:type="spellEnd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eastAsia="SymbolMT" w:hAnsi="Trebuchet MS" w:cs="Calibri"/>
          <w:b/>
          <w:bCs/>
          <w:sz w:val="24"/>
          <w:szCs w:val="24"/>
        </w:rPr>
        <w:t>nemulțumiri</w:t>
      </w:r>
      <w:proofErr w:type="spellEnd"/>
      <w:r w:rsidR="00834DD1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>venite</w:t>
      </w:r>
      <w:proofErr w:type="spellEnd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 xml:space="preserve"> din </w:t>
      </w:r>
      <w:proofErr w:type="spellStart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>partea</w:t>
      </w:r>
      <w:proofErr w:type="spellEnd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>beneficiarilor</w:t>
      </w:r>
      <w:proofErr w:type="spellEnd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>serviciilor</w:t>
      </w:r>
      <w:proofErr w:type="spellEnd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>furnizate</w:t>
      </w:r>
      <w:proofErr w:type="spellEnd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 xml:space="preserve"> de </w:t>
      </w:r>
      <w:proofErr w:type="spellStart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>către</w:t>
      </w:r>
      <w:proofErr w:type="spellEnd"/>
      <w:r w:rsidRPr="00834DD1">
        <w:rPr>
          <w:rFonts w:ascii="Trebuchet MS" w:eastAsia="SymbolMT" w:hAnsi="Trebuchet MS" w:cs="Calibri"/>
          <w:b/>
          <w:bCs/>
          <w:sz w:val="24"/>
          <w:szCs w:val="24"/>
        </w:rPr>
        <w:t xml:space="preserve"> ADR.</w:t>
      </w:r>
    </w:p>
    <w:p w14:paraId="5F7D9E54" w14:textId="0E95E21C" w:rsidR="000C528B" w:rsidRPr="000C528B" w:rsidRDefault="000C528B" w:rsidP="000C528B">
      <w:pPr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>Atribuții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>privind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>disciplina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>în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  <w:u w:val="single"/>
        </w:rPr>
        <w:t>muncă</w:t>
      </w:r>
      <w:proofErr w:type="spellEnd"/>
      <w:r>
        <w:rPr>
          <w:rFonts w:ascii="Trebuchet MS" w:hAnsi="Trebuchet MS" w:cs="Calibri"/>
          <w:b/>
          <w:bCs/>
          <w:sz w:val="24"/>
          <w:szCs w:val="24"/>
        </w:rPr>
        <w:t>:</w:t>
      </w:r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</w:p>
    <w:p w14:paraId="259B9E9B" w14:textId="3C63DFBA" w:rsidR="000C528B" w:rsidRPr="00834DD1" w:rsidRDefault="000C528B" w:rsidP="00D5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Respectă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normele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etice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,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normele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securitate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sănătate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în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muncă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, precum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instrucțiunile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privind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apărarea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împotriva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incendiilor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si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pentru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situațiile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urgență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,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în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îndeplinirea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atribuțiilor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serviciu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>;</w:t>
      </w:r>
    </w:p>
    <w:p w14:paraId="538CCF3D" w14:textId="4785AEB6" w:rsidR="000C528B" w:rsidRPr="00834DD1" w:rsidRDefault="000C528B" w:rsidP="00D5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Respectă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prevederile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Regulamentului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Organizare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si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Funcționare</w:t>
      </w:r>
      <w:proofErr w:type="spellEnd"/>
      <w:r w:rsidRPr="000C528B">
        <w:rPr>
          <w:rFonts w:ascii="Trebuchet MS" w:hAnsi="Trebuchet MS" w:cs="Calibri"/>
          <w:b/>
          <w:bCs/>
          <w:sz w:val="24"/>
          <w:szCs w:val="24"/>
        </w:rPr>
        <w:t xml:space="preserve">, ale </w:t>
      </w:r>
      <w:proofErr w:type="spellStart"/>
      <w:r w:rsidRPr="000C528B">
        <w:rPr>
          <w:rFonts w:ascii="Trebuchet MS" w:hAnsi="Trebuchet MS" w:cs="Calibri"/>
          <w:b/>
          <w:bCs/>
          <w:sz w:val="24"/>
          <w:szCs w:val="24"/>
        </w:rPr>
        <w:t>Regulamentului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Intern, ale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Regulamentului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Acces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ale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Codului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Conduită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Etică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al ADR, precum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și</w:t>
      </w:r>
      <w:proofErr w:type="spellEnd"/>
      <w:r w:rsid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deciziile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Pr="00834DD1">
        <w:rPr>
          <w:rFonts w:ascii="Trebuchet MS" w:hAnsi="Trebuchet MS" w:cs="Calibri"/>
          <w:b/>
          <w:bCs/>
          <w:sz w:val="24"/>
          <w:szCs w:val="24"/>
        </w:rPr>
        <w:t>superiorilor</w:t>
      </w:r>
      <w:proofErr w:type="spellEnd"/>
      <w:r w:rsidRPr="00834DD1">
        <w:rPr>
          <w:rFonts w:ascii="Trebuchet MS" w:hAnsi="Trebuchet MS" w:cs="Calibri"/>
          <w:b/>
          <w:bCs/>
          <w:sz w:val="24"/>
          <w:szCs w:val="24"/>
        </w:rPr>
        <w:t>.</w:t>
      </w:r>
    </w:p>
    <w:sectPr w:rsidR="000C528B" w:rsidRPr="00834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3114"/>
    <w:multiLevelType w:val="hybridMultilevel"/>
    <w:tmpl w:val="057221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3F4C92"/>
    <w:multiLevelType w:val="hybridMultilevel"/>
    <w:tmpl w:val="F45C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808DC"/>
    <w:multiLevelType w:val="hybridMultilevel"/>
    <w:tmpl w:val="17709C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29D4CAA"/>
    <w:multiLevelType w:val="hybridMultilevel"/>
    <w:tmpl w:val="788E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B3EEC"/>
    <w:multiLevelType w:val="hybridMultilevel"/>
    <w:tmpl w:val="278A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731958">
    <w:abstractNumId w:val="4"/>
  </w:num>
  <w:num w:numId="2" w16cid:durableId="1209611485">
    <w:abstractNumId w:val="2"/>
  </w:num>
  <w:num w:numId="3" w16cid:durableId="956722580">
    <w:abstractNumId w:val="0"/>
  </w:num>
  <w:num w:numId="4" w16cid:durableId="1948341443">
    <w:abstractNumId w:val="3"/>
  </w:num>
  <w:num w:numId="5" w16cid:durableId="570433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61"/>
    <w:rsid w:val="000C528B"/>
    <w:rsid w:val="000D6DBF"/>
    <w:rsid w:val="0024783E"/>
    <w:rsid w:val="00834DD1"/>
    <w:rsid w:val="00A77361"/>
    <w:rsid w:val="00D54A3B"/>
    <w:rsid w:val="00DA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6CEF"/>
  <w15:chartTrackingRefBased/>
  <w15:docId w15:val="{348B2BC5-5F70-40E3-A56F-8B508A3B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Bogdan</dc:creator>
  <cp:keywords/>
  <dc:description/>
  <cp:lastModifiedBy>Daniela Bogdan</cp:lastModifiedBy>
  <cp:revision>4</cp:revision>
  <dcterms:created xsi:type="dcterms:W3CDTF">2022-11-29T13:57:00Z</dcterms:created>
  <dcterms:modified xsi:type="dcterms:W3CDTF">2022-12-05T08:30:00Z</dcterms:modified>
</cp:coreProperties>
</file>