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9979" w14:textId="5CA6E712" w:rsidR="00860454" w:rsidRPr="00305F21" w:rsidRDefault="0046641A" w:rsidP="00B1494A">
      <w:pPr>
        <w:spacing w:after="0" w:line="240" w:lineRule="auto"/>
        <w:ind w:firstLine="720"/>
        <w:jc w:val="right"/>
        <w:rPr>
          <w:rFonts w:ascii="Trebuchet MS" w:hAnsi="Trebuchet MS" w:cstheme="minorHAnsi"/>
          <w:bCs/>
          <w:lang w:val="ro-RO"/>
        </w:rPr>
      </w:pPr>
      <w:r w:rsidRPr="00305F21">
        <w:rPr>
          <w:rFonts w:ascii="Trebuchet MS" w:hAnsi="Trebuchet MS" w:cstheme="minorHAnsi"/>
          <w:bCs/>
          <w:lang w:val="ro-RO"/>
        </w:rPr>
        <w:t xml:space="preserve">ANEXA nr. </w:t>
      </w:r>
      <w:r w:rsidR="00B1494A" w:rsidRPr="00305F21">
        <w:rPr>
          <w:rFonts w:ascii="Trebuchet MS" w:hAnsi="Trebuchet MS" w:cstheme="minorHAnsi"/>
          <w:bCs/>
          <w:lang w:val="ro-RO"/>
        </w:rPr>
        <w:t>4</w:t>
      </w:r>
    </w:p>
    <w:p w14:paraId="09FB8252" w14:textId="77777777" w:rsidR="004F6B51" w:rsidRPr="00305F21" w:rsidRDefault="004F6B51" w:rsidP="00B1494A">
      <w:pPr>
        <w:spacing w:after="0" w:line="240" w:lineRule="auto"/>
        <w:ind w:firstLine="720"/>
        <w:jc w:val="right"/>
        <w:rPr>
          <w:rFonts w:ascii="Trebuchet MS" w:hAnsi="Trebuchet MS" w:cstheme="minorHAnsi"/>
          <w:bCs/>
          <w:lang w:val="ro-RO"/>
        </w:rPr>
      </w:pPr>
    </w:p>
    <w:p w14:paraId="155671F3" w14:textId="77777777" w:rsidR="003446EC" w:rsidRPr="00305F21" w:rsidRDefault="00F62DE4" w:rsidP="003446EC">
      <w:pPr>
        <w:spacing w:after="0" w:line="240" w:lineRule="auto"/>
        <w:ind w:firstLine="720"/>
        <w:jc w:val="center"/>
        <w:rPr>
          <w:rFonts w:ascii="Trebuchet MS" w:hAnsi="Trebuchet MS" w:cstheme="minorHAnsi"/>
          <w:b/>
          <w:u w:val="single"/>
          <w:lang w:val="ro-RO"/>
        </w:rPr>
      </w:pPr>
      <w:r w:rsidRPr="00305F21">
        <w:rPr>
          <w:rFonts w:ascii="Trebuchet MS" w:hAnsi="Trebuchet MS" w:cstheme="minorHAnsi"/>
          <w:b/>
          <w:u w:val="single"/>
          <w:lang w:val="ro-RO"/>
        </w:rPr>
        <w:t xml:space="preserve">Bibliografia și tematica pentru funcțiile publice de </w:t>
      </w:r>
      <w:r w:rsidR="007D757F" w:rsidRPr="00305F21">
        <w:rPr>
          <w:rFonts w:ascii="Trebuchet MS" w:hAnsi="Trebuchet MS" w:cstheme="minorHAnsi"/>
          <w:b/>
          <w:u w:val="single"/>
          <w:lang w:val="ro-RO"/>
        </w:rPr>
        <w:t xml:space="preserve">conducere </w:t>
      </w:r>
      <w:r w:rsidR="003446EC" w:rsidRPr="00305F21">
        <w:rPr>
          <w:rFonts w:ascii="Trebuchet MS" w:hAnsi="Trebuchet MS" w:cstheme="minorHAnsi"/>
          <w:b/>
          <w:u w:val="single"/>
          <w:lang w:val="ro-RO"/>
        </w:rPr>
        <w:t xml:space="preserve">vacante pentru care se organizează concurs de promovare </w:t>
      </w:r>
    </w:p>
    <w:p w14:paraId="52D105A5" w14:textId="16715855" w:rsidR="00F62DE4" w:rsidRPr="00305F21" w:rsidRDefault="003446EC" w:rsidP="003446EC">
      <w:pPr>
        <w:spacing w:after="0" w:line="240" w:lineRule="auto"/>
        <w:ind w:firstLine="720"/>
        <w:jc w:val="center"/>
        <w:rPr>
          <w:rFonts w:ascii="Trebuchet MS" w:hAnsi="Trebuchet MS" w:cstheme="minorHAnsi"/>
          <w:b/>
          <w:u w:val="single"/>
          <w:lang w:val="ro-RO"/>
        </w:rPr>
      </w:pPr>
      <w:r w:rsidRPr="00305F21">
        <w:rPr>
          <w:rFonts w:ascii="Trebuchet MS" w:hAnsi="Trebuchet MS" w:cstheme="minorHAnsi"/>
          <w:b/>
          <w:u w:val="single"/>
          <w:lang w:val="ro-RO"/>
        </w:rPr>
        <w:t>în data de 29.05.2023 – proba scrisă</w:t>
      </w:r>
    </w:p>
    <w:p w14:paraId="4138E5E3" w14:textId="77777777" w:rsidR="003446EC" w:rsidRPr="00305F21" w:rsidRDefault="003446EC" w:rsidP="003446EC">
      <w:pPr>
        <w:spacing w:after="0" w:line="240" w:lineRule="auto"/>
        <w:ind w:firstLine="720"/>
        <w:jc w:val="center"/>
        <w:rPr>
          <w:rFonts w:ascii="Trebuchet MS" w:hAnsi="Trebuchet MS" w:cstheme="minorHAnsi"/>
          <w:b/>
          <w:lang w:val="ro-RO"/>
        </w:rPr>
      </w:pPr>
    </w:p>
    <w:p w14:paraId="023D3019" w14:textId="77777777" w:rsidR="003446EC" w:rsidRPr="00305F21" w:rsidRDefault="003446EC" w:rsidP="003446EC">
      <w:pPr>
        <w:spacing w:after="0" w:line="240" w:lineRule="auto"/>
        <w:ind w:firstLine="720"/>
        <w:jc w:val="center"/>
        <w:rPr>
          <w:rFonts w:ascii="Trebuchet MS" w:hAnsi="Trebuchet MS" w:cstheme="minorHAnsi"/>
          <w:b/>
          <w:u w:val="single"/>
          <w:lang w:val="ro-RO"/>
        </w:rPr>
      </w:pPr>
    </w:p>
    <w:p w14:paraId="1CF3CC94" w14:textId="4F527B40" w:rsidR="005F68EB" w:rsidRPr="00305F21" w:rsidRDefault="00860454" w:rsidP="004C2FE9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rebuchet MS" w:hAnsi="Trebuchet MS" w:cstheme="minorHAnsi"/>
          <w:bCs/>
          <w:lang w:val="ro-RO"/>
        </w:rPr>
      </w:pPr>
      <w:r w:rsidRPr="00305F21">
        <w:rPr>
          <w:rFonts w:ascii="Trebuchet MS" w:hAnsi="Trebuchet MS" w:cstheme="minorHAnsi"/>
          <w:b/>
          <w:lang w:val="ro-RO"/>
        </w:rPr>
        <w:t xml:space="preserve">pentru </w:t>
      </w:r>
      <w:r w:rsidR="007D757F" w:rsidRPr="00305F21">
        <w:rPr>
          <w:rFonts w:ascii="Trebuchet MS" w:hAnsi="Trebuchet MS" w:cstheme="minorHAnsi"/>
          <w:b/>
          <w:lang w:val="ro-RO"/>
        </w:rPr>
        <w:t xml:space="preserve">postul de </w:t>
      </w:r>
      <w:r w:rsidR="007D757F" w:rsidRPr="00305F21">
        <w:rPr>
          <w:rFonts w:ascii="Trebuchet MS" w:hAnsi="Trebuchet MS"/>
          <w:b/>
          <w:bCs/>
          <w:lang w:val="ro-RO"/>
        </w:rPr>
        <w:t xml:space="preserve">șef birou la Biroul Piața Unică Digitală din cadrul Serviciului Relații Internaționale și Afaceri Europene, (ID post </w:t>
      </w:r>
      <w:r w:rsidR="007D757F" w:rsidRPr="00305F21">
        <w:rPr>
          <w:rFonts w:ascii="Trebuchet MS" w:eastAsiaTheme="minorHAnsi" w:hAnsi="Trebuchet MS" w:cs="Segoe UI"/>
          <w:b/>
          <w:bCs/>
          <w:lang w:val="ro-RO"/>
        </w:rPr>
        <w:t xml:space="preserve">356411): </w:t>
      </w:r>
    </w:p>
    <w:p w14:paraId="27D19D54" w14:textId="77777777" w:rsidR="003446EC" w:rsidRPr="00305F21" w:rsidRDefault="003446EC" w:rsidP="003446EC">
      <w:pPr>
        <w:pStyle w:val="ListParagraph"/>
        <w:spacing w:after="0" w:line="240" w:lineRule="auto"/>
        <w:jc w:val="both"/>
        <w:rPr>
          <w:rFonts w:ascii="Trebuchet MS" w:hAnsi="Trebuchet MS" w:cstheme="minorHAnsi"/>
          <w:bCs/>
          <w:lang w:val="ro-RO"/>
        </w:rPr>
      </w:pPr>
    </w:p>
    <w:p w14:paraId="125577BC" w14:textId="74F73289" w:rsidR="00860454" w:rsidRPr="00305F21" w:rsidRDefault="00860454" w:rsidP="00860454">
      <w:pPr>
        <w:spacing w:after="0"/>
        <w:ind w:right="432"/>
        <w:rPr>
          <w:rFonts w:ascii="Trebuchet MS" w:eastAsia="Times New Roman" w:hAnsi="Trebuchet MS" w:cs="Trebuchet MS"/>
          <w:b/>
          <w:bCs/>
          <w:color w:val="000000"/>
          <w:u w:val="single"/>
          <w:lang w:val="ro-RO"/>
        </w:rPr>
      </w:pPr>
      <w:r w:rsidRPr="00305F21">
        <w:rPr>
          <w:rFonts w:ascii="Trebuchet MS" w:eastAsia="Times New Roman" w:hAnsi="Trebuchet MS" w:cs="Trebuchet MS"/>
          <w:b/>
          <w:bCs/>
          <w:color w:val="000000"/>
          <w:u w:val="single"/>
          <w:lang w:val="ro-RO"/>
        </w:rPr>
        <w:t>Bibliografie</w:t>
      </w:r>
      <w:r w:rsidR="00F80461" w:rsidRPr="00305F21">
        <w:rPr>
          <w:rFonts w:ascii="Trebuchet MS" w:eastAsia="Times New Roman" w:hAnsi="Trebuchet MS" w:cs="Trebuchet MS"/>
          <w:b/>
          <w:bCs/>
          <w:color w:val="000000"/>
          <w:u w:val="single"/>
          <w:lang w:val="ro-RO"/>
        </w:rPr>
        <w:t xml:space="preserve"> și Tematică</w:t>
      </w:r>
    </w:p>
    <w:p w14:paraId="49D4CE2E" w14:textId="77777777" w:rsidR="0024436E" w:rsidRPr="00305F21" w:rsidRDefault="0024436E" w:rsidP="0024436E">
      <w:pPr>
        <w:spacing w:after="0"/>
        <w:ind w:right="432"/>
        <w:rPr>
          <w:rFonts w:ascii="Trebuchet MS" w:eastAsia="Times New Roman" w:hAnsi="Trebuchet MS" w:cs="Trebuchet MS"/>
          <w:b/>
          <w:bCs/>
          <w:color w:val="000000"/>
          <w:u w:val="single"/>
          <w:lang w:val="ro-RO"/>
        </w:rPr>
      </w:pPr>
    </w:p>
    <w:p w14:paraId="37FF8CC8" w14:textId="77777777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1. Constituția României, republicată</w:t>
      </w:r>
    </w:p>
    <w:p w14:paraId="69CFBBD5" w14:textId="387D2A19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Drepturi, libertățile și îndatoririle fundamentale, deciziile Curții Constituționale, Administrația</w:t>
      </w:r>
      <w:r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publică (Titlul II, Capitolul I art.15 – 21, Capitolul II art.22 – 53, Capitolul III art.54 – 57, Titlul V art.147)</w:t>
      </w:r>
    </w:p>
    <w:p w14:paraId="7ED3041E" w14:textId="77777777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1B5FB93A" w14:textId="644F4DF3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2. Ordonanța Guvernului nr. 137/2000 privind prevenirea și sancționarea tuturor formelor de discriminare,</w:t>
      </w:r>
      <w:r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republicată, cu modificările și completările ulterioare</w:t>
      </w:r>
    </w:p>
    <w:p w14:paraId="6BA47448" w14:textId="3C2B3263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Principii și definiții privind respectarea demnității umane, protecția drepturilor și libertăților</w:t>
      </w:r>
      <w:r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fundamentale ale omului, prevenirii și combaterii incitării la ură și discriminare (Capitolul I art.1 – 5, Capitolul II</w:t>
      </w:r>
      <w:r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art.6 – 25)</w:t>
      </w:r>
    </w:p>
    <w:p w14:paraId="415AA6EA" w14:textId="77777777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30A9CE25" w14:textId="36671005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3. Legea nr. 202/2002 privind egalitatea de șanse și de tratament între femei și bărbați, republicată, cu</w:t>
      </w:r>
      <w:r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modificările și completările ulterioare</w:t>
      </w:r>
      <w:r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cu tematica Egalitatea de șanse și tratament. Definiții în această materie. Egalitatea de șanse și tratament</w:t>
      </w:r>
      <w:r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între femei și bărbați în domeniul muncii. Egalitatea de șanse între femei și bărbați în ceea ce privește</w:t>
      </w:r>
      <w:r w:rsidR="004317EC"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participarea la luarea deciziei (Capitolul I art.1 – 6, Capitolul II art. 7 – 13, Capitolul IV art.21 – 22)</w:t>
      </w:r>
    </w:p>
    <w:p w14:paraId="3D4C2ED1" w14:textId="77777777" w:rsidR="004317EC" w:rsidRPr="00305F21" w:rsidRDefault="004317EC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1EC4D7B0" w14:textId="16F7E829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4. Titlul I și II ale părții a VI-a din Ordonanța de urgență a Guvernului nr. 57/2019, cu modificările și</w:t>
      </w:r>
      <w:r w:rsidR="004317EC"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completările ulterioare</w:t>
      </w:r>
      <w:r w:rsidR="004317EC"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cu tematica Dispoziții generale (Titlul I al părții a VI-a), Statutul funcționarilor publici (Titlul II al părții a VIa)</w:t>
      </w:r>
    </w:p>
    <w:p w14:paraId="65A59A86" w14:textId="77777777" w:rsidR="004317EC" w:rsidRPr="00305F21" w:rsidRDefault="004317EC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2BBE4F48" w14:textId="54EEB446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5. Hotărârea Guvernului nr. 34/2017 privind organizarea și funcționarea Sistemului național de gestionare a</w:t>
      </w:r>
      <w:r w:rsidR="004317EC"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afacerilor europene în vederea participării României la procesul decizional al instituțiilor Uniunii Europene</w:t>
      </w:r>
    </w:p>
    <w:p w14:paraId="3EF4495C" w14:textId="77777777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23B36ABC" w14:textId="77777777" w:rsidR="004317EC" w:rsidRPr="00305F21" w:rsidRDefault="004317EC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26D2121A" w14:textId="20B8D283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6. Hotărârea Guvernului nr. 518/1995 privind unele drepturi și obligații ale personalului român trimis în</w:t>
      </w:r>
      <w:r w:rsidR="004317EC"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străinătate pentru îndeplinirea unor misiuni cu caracter temporar, cu modificările și completările ulterioare</w:t>
      </w:r>
    </w:p>
    <w:p w14:paraId="640D2FF5" w14:textId="77777777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1886F354" w14:textId="77777777" w:rsidR="004317EC" w:rsidRPr="00305F21" w:rsidRDefault="004317EC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34DD2D26" w14:textId="659CA60C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7. Hotărârea Guvernului nr. 89/2020 privind organizarea și funcționarea Autorității pentru Digitalizarea</w:t>
      </w:r>
      <w:r w:rsidR="004317EC"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României, cu completările și modificările ulterioare</w:t>
      </w:r>
    </w:p>
    <w:p w14:paraId="2419CD7E" w14:textId="77777777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65325337" w14:textId="77777777" w:rsidR="004317EC" w:rsidRPr="00305F21" w:rsidRDefault="004317EC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10947815" w14:textId="77777777" w:rsidR="00305F21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8. Regulamentul (UE) 2022/868 al Parlamentului European și al Consiliului din 30 mai 2022 privindguvernanța datelor la nivel european și de modificare a Regulamentului (UE) 2018/1724 (Regulamentul privind</w:t>
      </w:r>
      <w:r w:rsidR="004317EC"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 xml:space="preserve">guvernanța datelor): </w:t>
      </w:r>
    </w:p>
    <w:p w14:paraId="63726762" w14:textId="0B22B160" w:rsidR="004C2FE9" w:rsidRPr="00305F21" w:rsidRDefault="00305F21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hyperlink r:id="rId5" w:history="1">
        <w:r w:rsidRPr="00305F21">
          <w:rPr>
            <w:rStyle w:val="Hyperlink"/>
            <w:rFonts w:ascii="Trebuchet MS" w:eastAsiaTheme="minorHAnsi" w:hAnsi="Trebuchet MS" w:cs="Segoe UI"/>
            <w:lang w:val="ro-RO"/>
          </w:rPr>
          <w:t>https://eur-lex.europa.eu/legalcontent/RO/TXT/HTML/?uri=CELEX:32022R0868&amp;from=DE</w:t>
        </w:r>
      </w:hyperlink>
    </w:p>
    <w:p w14:paraId="36F51735" w14:textId="77777777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573DD991" w14:textId="77777777" w:rsidR="004317EC" w:rsidRPr="00305F21" w:rsidRDefault="004317EC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2B5A9E61" w14:textId="77777777" w:rsidR="00305F21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9. Regulamentul (UE) 2018/1724 al Parlamentului European și al Consiliului din 2 octombrie 2018 privind</w:t>
      </w:r>
      <w:r w:rsidR="00305F21"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înființarea unui portal digital unic (gateway) pentru a oferi acces la informații, la proceduri și la servicii de</w:t>
      </w:r>
      <w:r w:rsidR="00305F21"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 xml:space="preserve">asistență și de soluționare a problemelor și de modificare a Regulamentului (UE) nr. 1024/2012: </w:t>
      </w:r>
    </w:p>
    <w:p w14:paraId="6ED29109" w14:textId="0084728E" w:rsidR="004C2FE9" w:rsidRPr="00305F21" w:rsidRDefault="00305F21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hyperlink r:id="rId6" w:history="1">
        <w:r w:rsidRPr="00305F21">
          <w:rPr>
            <w:rStyle w:val="Hyperlink"/>
            <w:rFonts w:ascii="Trebuchet MS" w:eastAsiaTheme="minorHAnsi" w:hAnsi="Trebuchet MS" w:cs="Segoe UI"/>
            <w:lang w:val="ro-RO"/>
          </w:rPr>
          <w:t>https://eurlex.europa.eu/legal-content/RO/TXT/?uri=CELEX%3A32018R1724</w:t>
        </w:r>
      </w:hyperlink>
    </w:p>
    <w:p w14:paraId="1F12EC19" w14:textId="77777777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37C5A39D" w14:textId="77777777" w:rsidR="00305F21" w:rsidRPr="00305F21" w:rsidRDefault="00305F21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40576B97" w14:textId="77777777" w:rsidR="00305F21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10. Directiva (UE) 2019/1024 a Parlamentului European și a Consiliului din 20 iunie 2019 privind datele</w:t>
      </w:r>
      <w:r w:rsidR="00305F21"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 xml:space="preserve">deschise și reutilizarea informațiilor din sectorul public (reformare): </w:t>
      </w:r>
    </w:p>
    <w:p w14:paraId="47C32174" w14:textId="51075ED8" w:rsidR="00305F21" w:rsidRPr="00305F21" w:rsidRDefault="00305F21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hyperlink r:id="rId7" w:history="1">
        <w:r w:rsidRPr="00305F21">
          <w:rPr>
            <w:rStyle w:val="Hyperlink"/>
            <w:rFonts w:ascii="Trebuchet MS" w:eastAsiaTheme="minorHAnsi" w:hAnsi="Trebuchet MS" w:cs="Segoe UI"/>
            <w:lang w:val="ro-RO"/>
          </w:rPr>
          <w:t>https://eur-lex.europa.eu/legal-</w:t>
        </w:r>
      </w:hyperlink>
    </w:p>
    <w:p w14:paraId="2888E76D" w14:textId="77777777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0B30BC51" w14:textId="77777777" w:rsidR="00305F21" w:rsidRPr="00305F21" w:rsidRDefault="00305F21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21DCE2EE" w14:textId="18178804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11. Propunerea de Regulament al Parlamentului European și al Consiliului de modificare a Regulamentului</w:t>
      </w:r>
      <w:r w:rsidR="00305F21"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 xml:space="preserve">(UE) nr. 910/2014 în ceea ce privește instituirea unui cadru pentru identitatea digitală europeană: </w:t>
      </w:r>
      <w:hyperlink r:id="rId8" w:history="1">
        <w:r w:rsidR="00305F21" w:rsidRPr="00305F21">
          <w:rPr>
            <w:rStyle w:val="Hyperlink"/>
            <w:rFonts w:ascii="Trebuchet MS" w:eastAsiaTheme="minorHAnsi" w:hAnsi="Trebuchet MS" w:cs="Segoe UI"/>
            <w:lang w:val="ro-RO"/>
          </w:rPr>
          <w:t>https://eurlex.europa.eu/legal-content/RO/TXT/?uri=CELEX:52021PC0281</w:t>
        </w:r>
      </w:hyperlink>
    </w:p>
    <w:p w14:paraId="31FA9A7B" w14:textId="77777777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2E0E120C" w14:textId="77777777" w:rsidR="00305F21" w:rsidRPr="00305F21" w:rsidRDefault="00305F21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090180EB" w14:textId="12E0BB1B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12. Propunere de regulament al Parlamentului European și al Consiliului privind norme armonizate pentru</w:t>
      </w:r>
      <w:r w:rsidR="00305F21"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 xml:space="preserve">un acces echitabil la date și o utilizare corectă a acestora: </w:t>
      </w:r>
      <w:hyperlink r:id="rId9" w:history="1">
        <w:r w:rsidR="00305F21" w:rsidRPr="00305F21">
          <w:rPr>
            <w:rStyle w:val="Hyperlink"/>
            <w:rFonts w:ascii="Trebuchet MS" w:eastAsiaTheme="minorHAnsi" w:hAnsi="Trebuchet MS" w:cs="Segoe UI"/>
            <w:lang w:val="ro-RO"/>
          </w:rPr>
          <w:t>https://eur-lex.europa.eu/legalcontent/RO/TXT/HTML/?uri=CELEX:52022PC0068&amp;from=ro</w:t>
        </w:r>
      </w:hyperlink>
      <w:r w:rsidR="00305F21" w:rsidRPr="00305F21">
        <w:rPr>
          <w:rFonts w:ascii="Trebuchet MS" w:eastAsiaTheme="minorHAnsi" w:hAnsi="Trebuchet MS" w:cs="Segoe UI"/>
          <w:lang w:val="ro-RO"/>
        </w:rPr>
        <w:t xml:space="preserve"> </w:t>
      </w:r>
    </w:p>
    <w:p w14:paraId="19BB5E7D" w14:textId="77777777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1524EA1A" w14:textId="77777777" w:rsidR="00305F21" w:rsidRPr="00305F21" w:rsidRDefault="00305F21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4962664B" w14:textId="5A2B82E2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13. Legea nr. 242/2022 privind schimbul de date între sisteme informatice şi crearea Platformei naţionale</w:t>
      </w:r>
      <w:r w:rsidR="00305F21"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de interoperabilitate</w:t>
      </w:r>
    </w:p>
    <w:p w14:paraId="5EFB2861" w14:textId="77777777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571F9210" w14:textId="77777777" w:rsidR="00305F21" w:rsidRPr="00305F21" w:rsidRDefault="00305F21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104DEDF4" w14:textId="719DE05B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14. Ordonanța de urgență a Guvernului nr. 89/2022 privind înfiinţarea, administrarea şi dezvoltarea</w:t>
      </w:r>
      <w:r w:rsidR="00305F21"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infrastructurilor şi serviciilor informatice de tip cloud utilizate de autorităţile şi instituţiile publice, cu</w:t>
      </w:r>
      <w:r w:rsidR="00305F21"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modificările și completările ulterioare</w:t>
      </w:r>
    </w:p>
    <w:p w14:paraId="18AE73E6" w14:textId="77777777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4AA43A96" w14:textId="77777777" w:rsidR="00305F21" w:rsidRPr="00305F21" w:rsidRDefault="00305F21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747A8E30" w14:textId="5777E20A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15. Hotărârea Guvernului nr. 112/2023 privind aprobarea Ghidului de guvernanţă a platformei de cloud</w:t>
      </w:r>
      <w:r w:rsidR="00305F21" w:rsidRPr="00305F21"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guvernamental</w:t>
      </w:r>
    </w:p>
    <w:p w14:paraId="1CADBAE8" w14:textId="77777777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5D54DCD3" w14:textId="77777777" w:rsidR="00305F21" w:rsidRPr="00305F21" w:rsidRDefault="00305F21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4FE8064F" w14:textId="77777777" w:rsidR="004C2FE9" w:rsidRPr="00305F21" w:rsidRDefault="004C2FE9" w:rsidP="004C2F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16. Legea nr. 179/2022 privind datele deschise şi reutilizarea informaţiilor din sectorul public</w:t>
      </w:r>
    </w:p>
    <w:p w14:paraId="02B36AD3" w14:textId="1346EF1A" w:rsidR="0024436E" w:rsidRPr="00305F21" w:rsidRDefault="004C2FE9" w:rsidP="00305F21">
      <w:pPr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3974A2DA" w14:textId="77777777" w:rsidR="00305F21" w:rsidRPr="00305F21" w:rsidRDefault="00305F21" w:rsidP="00305F2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4282285B" w14:textId="77777777" w:rsidR="0024436E" w:rsidRPr="00305F21" w:rsidRDefault="0024436E" w:rsidP="004C2FE9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rebuchet MS" w:hAnsi="Trebuchet MS" w:cstheme="minorHAnsi"/>
          <w:b/>
          <w:lang w:val="ro-RO"/>
        </w:rPr>
      </w:pPr>
      <w:r w:rsidRPr="00305F21">
        <w:rPr>
          <w:rFonts w:ascii="Trebuchet MS" w:hAnsi="Trebuchet MS" w:cstheme="minorHAnsi"/>
          <w:b/>
          <w:lang w:val="ro-RO"/>
        </w:rPr>
        <w:t xml:space="preserve">pentru postul de șef serviciu la Serviciul Juridic și Contencios Administrativ, (ID post 545715): </w:t>
      </w:r>
    </w:p>
    <w:p w14:paraId="1652FB4F" w14:textId="77777777" w:rsidR="0024436E" w:rsidRPr="00305F21" w:rsidRDefault="0024436E" w:rsidP="0024436E">
      <w:pPr>
        <w:pStyle w:val="ListParagraph"/>
        <w:spacing w:after="0" w:line="240" w:lineRule="auto"/>
        <w:jc w:val="both"/>
        <w:rPr>
          <w:rFonts w:ascii="Trebuchet MS" w:hAnsi="Trebuchet MS" w:cstheme="minorHAnsi"/>
          <w:b/>
          <w:lang w:val="ro-RO"/>
        </w:rPr>
      </w:pPr>
    </w:p>
    <w:p w14:paraId="087FCDC9" w14:textId="77777777" w:rsidR="0024436E" w:rsidRPr="00305F21" w:rsidRDefault="0024436E" w:rsidP="00305F21">
      <w:pPr>
        <w:spacing w:after="0"/>
        <w:ind w:right="432"/>
        <w:jc w:val="both"/>
        <w:rPr>
          <w:rFonts w:ascii="Trebuchet MS" w:eastAsia="Times New Roman" w:hAnsi="Trebuchet MS" w:cs="Trebuchet MS"/>
          <w:b/>
          <w:bCs/>
          <w:color w:val="000000"/>
          <w:u w:val="single"/>
          <w:lang w:val="ro-RO"/>
        </w:rPr>
      </w:pPr>
      <w:r w:rsidRPr="00305F21">
        <w:rPr>
          <w:rFonts w:ascii="Trebuchet MS" w:eastAsia="Times New Roman" w:hAnsi="Trebuchet MS" w:cs="Trebuchet MS"/>
          <w:b/>
          <w:bCs/>
          <w:color w:val="000000"/>
          <w:u w:val="single"/>
          <w:lang w:val="ro-RO"/>
        </w:rPr>
        <w:t xml:space="preserve">Bibliografie și Tematică </w:t>
      </w:r>
    </w:p>
    <w:p w14:paraId="5AC9B451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1. Constituția României, republicată</w:t>
      </w:r>
    </w:p>
    <w:p w14:paraId="2911E752" w14:textId="3E097600" w:rsid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Titlul II - Drepturile, libertățile și îndatoririle fundamentale - Cap.I, II și III; Titlul III – Autoritățile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publice – Secțiunea a 3-a; Actele Guvernului; Delegarea legislativă</w:t>
      </w:r>
    </w:p>
    <w:p w14:paraId="12CD4274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7E1D87A4" w14:textId="77636E72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lastRenderedPageBreak/>
        <w:t>2. Ordonanța Guvernului nr. 137/2000 privind prevenirea și sancționarea tuturor formelor de discriminare,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republicată, cu modificările și completările ulterioare</w:t>
      </w:r>
    </w:p>
    <w:p w14:paraId="4DE98DD9" w14:textId="77777777" w:rsid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235ABF71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018D447D" w14:textId="1E9B2D8D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3. Legea nr. 202/2002 privind egalitatea de șanse și de tratament între femei și bărbați, republicată, cu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modificările și completările ulterioare</w:t>
      </w:r>
    </w:p>
    <w:p w14:paraId="23893193" w14:textId="77777777" w:rsid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2A34D874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0B7949EF" w14:textId="3E4DFCC6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4. Titlul I și II ale părții a VI-a din Ordonanța de urgență a Guvernului nr. 57/2019, cu modificările și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completările ulterioare Titlul III a părții a VI-a din Ordonanța de urgență a Guvernului nr. 57/2019, cu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modificările și completările ulterioare</w:t>
      </w:r>
    </w:p>
    <w:p w14:paraId="32E886B9" w14:textId="4D1173AF" w:rsid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Partea a VI-a – Statutul funcționarilor publici, prevederi aplicabile personalului contractual din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administrația publică și evidența personalului plătit din fonduri publice</w:t>
      </w:r>
    </w:p>
    <w:p w14:paraId="78199666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1C53D894" w14:textId="405B887C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5. Hotărârea Guvernului nr. 89/2020 privind organizarea şi funcţionarea Autorităţii pentru Digitalizarea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României, cu modificările și completările ulterioare</w:t>
      </w:r>
    </w:p>
    <w:p w14:paraId="57A85738" w14:textId="77777777" w:rsid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30FD4D9D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1CBA3982" w14:textId="4A3D0E1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6. Legea nr. 24/2000 privind normele de tehnică legislativă pentru elaborarea actelor normative, cu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modificările și completările ulterioare</w:t>
      </w:r>
    </w:p>
    <w:p w14:paraId="2F3CF47D" w14:textId="77777777" w:rsid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28ED280E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2DE4134F" w14:textId="52858F5D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7. Hotărârea Guvernului nr. 561/ 2009 pentru aprobarea Regulamentului privind procedurile, la nivelul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Guvernului, pentru elaborarea, avizarea şi prezentarea proiectelor de documente de politici publice, a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proiectelor de acte normative, precum şi a altor documente, în vederea adoptării/aprobării, cu modificările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ulterioare</w:t>
      </w:r>
    </w:p>
    <w:p w14:paraId="5FEAB5F2" w14:textId="226BA516" w:rsid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Regulamentul privind procedurile, la nivelul Guvernului, pentru elaborarea, avizarea şi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prezentarea proiectelor de documente de politici publice, a proiectelor de acte normative, precum şi a altor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documente, în vederea adoptării/aprobării din 10.05.2009, cu modificările ulterioare</w:t>
      </w:r>
    </w:p>
    <w:p w14:paraId="68F0F6A3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4A52EB57" w14:textId="520207F3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8. Legea nr. 98/2016 privind achiziţiile publice, cu modificările și completările ulterioare</w:t>
      </w:r>
    </w:p>
    <w:p w14:paraId="6A1B4E0E" w14:textId="77777777" w:rsid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565D0B76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4FC92741" w14:textId="304DF92E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9. Hotărârea Guvernului nr. 395/2016 pentru aprobarea Normelor metodologice de aplicare a prevederilor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referitoare la atribuirea contractului de achiziţie publică/acordului-cadru din Legea nr. 98/2016 privind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achiziţiile publice, cu modificările și completările ulterioare</w:t>
      </w:r>
    </w:p>
    <w:p w14:paraId="11437D66" w14:textId="68AB165A" w:rsid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Normele metodologice de aplicare a prevederilor referitoare la atribuirea contractului de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achiziţie publică/acordului-cadru din Legea nr. 98/2016 privind achiziţiile publice din 02.06.2016, cu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modificările și completările ulterioare</w:t>
      </w:r>
    </w:p>
    <w:p w14:paraId="45818381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764B7CEA" w14:textId="405E4FFD" w:rsid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10. Legea nr. 207/2015 privind Codul de procedură fiscală, cu modificările și completările ulterioare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cu tematica TITLUL VII: Capitolul VI - Măsurile asiguratorii, Capitolul VII - Prescripţia dreptului de a cere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executarea silită şi a dreptului de a cere restituirea Capitolul VIII - Stingerea creanţelor fiscale prin executare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silită Capitolul XI – Contestaţia la executare silită</w:t>
      </w:r>
    </w:p>
    <w:p w14:paraId="21EE29C9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490402FC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11. Legea nr. 134/2010 privind Codul de procedură civilă, cu modificările si completările ulterioare</w:t>
      </w:r>
    </w:p>
    <w:p w14:paraId="39F35FA1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48A87469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lastRenderedPageBreak/>
        <w:t>12. Legea nr.135/2010 privind Codul de procedură penală, cu modificările si completările ulterioare</w:t>
      </w:r>
    </w:p>
    <w:p w14:paraId="0186C095" w14:textId="77777777" w:rsid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TITLUL II: Capitolul II - Acțiunea civilă</w:t>
      </w:r>
    </w:p>
    <w:p w14:paraId="65F4BF99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2996BED7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13. Legea contenciosului administrativ nr. 554/2004, cu modificările și completările ulterioare</w:t>
      </w:r>
    </w:p>
    <w:p w14:paraId="1724061E" w14:textId="77777777" w:rsid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07F56A57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3AA9CE0E" w14:textId="47FCF63C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14. Legea nr. 514/2003 privind organizarea şi exercitarea profesiei de consilier juridic, cu modificările și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completările ulterioare</w:t>
      </w:r>
    </w:p>
    <w:p w14:paraId="1F52B153" w14:textId="77777777" w:rsid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0258F2F5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6559FC65" w14:textId="63B8F410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15. Legea nr. 52/2003 privind transparenţa decizională în administraţia publică, republicată, cu modificările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și completările ulterioare</w:t>
      </w:r>
    </w:p>
    <w:p w14:paraId="25F8B1F4" w14:textId="17B2EBDA" w:rsid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Reguli procedurale pentru asigurarea transparenţei decizionale în cadrul autorităţilor şi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instituţiilor publice din administraţia publică centrală</w:t>
      </w:r>
    </w:p>
    <w:p w14:paraId="3F109B56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50CFB0E3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16. Legea nr. 287/2009 privind Codul civil, republicată, cu modificările și completările ulterioare</w:t>
      </w:r>
    </w:p>
    <w:p w14:paraId="06F20513" w14:textId="31D36916" w:rsid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Cartea a V-a – Despre obligații Cartea a VI-a – Despre prescripția extinctivă, decădere și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calculul termenelor</w:t>
      </w:r>
    </w:p>
    <w:p w14:paraId="5D307FE6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1A518EA6" w14:textId="3CBB8642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17. Legea nr. 242/2022 privind schimbul de date între sisteme informatice şi crearea Platformei naţionale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de interoperabilitate</w:t>
      </w:r>
    </w:p>
    <w:p w14:paraId="45DA261C" w14:textId="77777777" w:rsid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6D5C45F5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4602D535" w14:textId="0D4C92FB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18. Ordonanța de urgență a Guvernului nr. 89/2022 privind înfiinţarea, administrarea şi dezvoltarea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infrastructurilor şi serviciilor informatice de tip cloud utilizate de autorităţile şi instituţiile publice, cu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modificările și completările ulterioare</w:t>
      </w:r>
    </w:p>
    <w:p w14:paraId="75BA3994" w14:textId="77777777" w:rsid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5DAE3A9D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1EF95830" w14:textId="544DF582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19. Hotărârea Guvernului nr. 112/2023 privind aprobarea Ghidului de guvernanţă a platformei de cloud</w:t>
      </w:r>
      <w:r>
        <w:rPr>
          <w:rFonts w:ascii="Trebuchet MS" w:eastAsiaTheme="minorHAnsi" w:hAnsi="Trebuchet MS" w:cs="Segoe UI"/>
          <w:lang w:val="ro-RO"/>
        </w:rPr>
        <w:t xml:space="preserve"> </w:t>
      </w:r>
      <w:r w:rsidRPr="00305F21">
        <w:rPr>
          <w:rFonts w:ascii="Trebuchet MS" w:eastAsiaTheme="minorHAnsi" w:hAnsi="Trebuchet MS" w:cs="Segoe UI"/>
          <w:lang w:val="ro-RO"/>
        </w:rPr>
        <w:t>guvernamental</w:t>
      </w:r>
    </w:p>
    <w:p w14:paraId="5EB8FC4F" w14:textId="77777777" w:rsid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4F068C84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</w:p>
    <w:p w14:paraId="79B4387D" w14:textId="77777777" w:rsidR="00305F21" w:rsidRPr="00305F21" w:rsidRDefault="00305F21" w:rsidP="00305F2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Theme="minorHAnsi" w:hAnsi="Trebuchet MS" w:cs="Segoe UI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20. Legea nr. 179/2022 privind datele deschise şi reutilizarea informaţiilor din sectorul public</w:t>
      </w:r>
    </w:p>
    <w:p w14:paraId="2FE68F51" w14:textId="11E812CB" w:rsidR="007D757F" w:rsidRPr="00305F21" w:rsidRDefault="00305F21" w:rsidP="00305F2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305F21">
        <w:rPr>
          <w:rFonts w:ascii="Trebuchet MS" w:eastAsiaTheme="minorHAnsi" w:hAnsi="Trebuchet MS" w:cs="Segoe UI"/>
          <w:lang w:val="ro-RO"/>
        </w:rPr>
        <w:t>cu tematica integral</w:t>
      </w:r>
    </w:p>
    <w:p w14:paraId="02F82EFC" w14:textId="062F3053" w:rsidR="003D5411" w:rsidRPr="00305F21" w:rsidRDefault="003D5411" w:rsidP="00305F21">
      <w:pPr>
        <w:spacing w:after="0" w:line="240" w:lineRule="auto"/>
        <w:jc w:val="both"/>
        <w:rPr>
          <w:rFonts w:ascii="Trebuchet MS" w:hAnsi="Trebuchet MS" w:cstheme="minorHAnsi"/>
          <w:bCs/>
          <w:lang w:val="ro-RO"/>
        </w:rPr>
      </w:pPr>
    </w:p>
    <w:p w14:paraId="4880C7F5" w14:textId="77777777" w:rsidR="003D5411" w:rsidRPr="00305F21" w:rsidRDefault="003D5411" w:rsidP="00305F21">
      <w:pPr>
        <w:spacing w:after="0" w:line="240" w:lineRule="auto"/>
        <w:ind w:firstLine="720"/>
        <w:jc w:val="both"/>
        <w:rPr>
          <w:rFonts w:ascii="Trebuchet MS" w:hAnsi="Trebuchet MS" w:cstheme="minorHAnsi"/>
          <w:bCs/>
          <w:lang w:val="ro-RO"/>
        </w:rPr>
      </w:pPr>
    </w:p>
    <w:p w14:paraId="6D908C71" w14:textId="77777777" w:rsidR="00A879F7" w:rsidRPr="00305F21" w:rsidRDefault="00A879F7" w:rsidP="00305F21">
      <w:pPr>
        <w:jc w:val="both"/>
        <w:rPr>
          <w:rFonts w:ascii="Trebuchet MS" w:eastAsia="Times New Roman" w:hAnsi="Trebuchet MS"/>
          <w:b/>
          <w:bCs/>
          <w:lang w:val="ro-RO"/>
        </w:rPr>
      </w:pPr>
    </w:p>
    <w:p w14:paraId="2B412507" w14:textId="612DF898" w:rsidR="00860454" w:rsidRPr="00305F21" w:rsidRDefault="00860454" w:rsidP="00305F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theme="minorHAnsi"/>
          <w:i/>
          <w:lang w:val="ro-RO"/>
        </w:rPr>
      </w:pPr>
      <w:r w:rsidRPr="00305F21">
        <w:rPr>
          <w:rFonts w:ascii="Trebuchet MS" w:hAnsi="Trebuchet MS" w:cstheme="minorHAnsi"/>
          <w:lang w:val="ro-RO"/>
        </w:rPr>
        <w:t>N</w:t>
      </w:r>
      <w:r w:rsidRPr="00305F21">
        <w:rPr>
          <w:rFonts w:ascii="Trebuchet MS" w:hAnsi="Trebuchet MS" w:cstheme="minorHAnsi"/>
          <w:i/>
          <w:lang w:val="ro-RO"/>
        </w:rPr>
        <w:t>otă: pentru toate actele normative, forma valabilă se considera aceea având toate modificările și completările ulterioare, până la zi.</w:t>
      </w:r>
    </w:p>
    <w:p w14:paraId="101711B8" w14:textId="77777777" w:rsidR="004C6C9A" w:rsidRPr="00305F21" w:rsidRDefault="004C6C9A" w:rsidP="00305F21">
      <w:pPr>
        <w:jc w:val="both"/>
        <w:rPr>
          <w:rFonts w:ascii="Trebuchet MS" w:hAnsi="Trebuchet MS"/>
          <w:lang w:val="ro-RO"/>
        </w:rPr>
      </w:pPr>
    </w:p>
    <w:sectPr w:rsidR="004C6C9A" w:rsidRPr="00305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424"/>
    <w:multiLevelType w:val="hybridMultilevel"/>
    <w:tmpl w:val="4FF49D8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7631"/>
    <w:multiLevelType w:val="hybridMultilevel"/>
    <w:tmpl w:val="4EC2E56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10C4F"/>
    <w:multiLevelType w:val="hybridMultilevel"/>
    <w:tmpl w:val="318AF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7916B1"/>
    <w:multiLevelType w:val="hybridMultilevel"/>
    <w:tmpl w:val="47C83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B906E3"/>
    <w:multiLevelType w:val="hybridMultilevel"/>
    <w:tmpl w:val="12A80D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37F9C"/>
    <w:multiLevelType w:val="hybridMultilevel"/>
    <w:tmpl w:val="ABBCF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D28DA"/>
    <w:multiLevelType w:val="hybridMultilevel"/>
    <w:tmpl w:val="0052B7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DE352E"/>
    <w:multiLevelType w:val="hybridMultilevel"/>
    <w:tmpl w:val="2B1C2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C711E5"/>
    <w:multiLevelType w:val="hybridMultilevel"/>
    <w:tmpl w:val="01243FFC"/>
    <w:lvl w:ilvl="0" w:tplc="34BEA6EE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C3DB6"/>
    <w:multiLevelType w:val="hybridMultilevel"/>
    <w:tmpl w:val="50621E32"/>
    <w:lvl w:ilvl="0" w:tplc="E9F4F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32E3C"/>
    <w:multiLevelType w:val="hybridMultilevel"/>
    <w:tmpl w:val="42F4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963AE"/>
    <w:multiLevelType w:val="hybridMultilevel"/>
    <w:tmpl w:val="9412DEC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483089"/>
    <w:multiLevelType w:val="hybridMultilevel"/>
    <w:tmpl w:val="9CB2FE5C"/>
    <w:lvl w:ilvl="0" w:tplc="19588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83806"/>
    <w:multiLevelType w:val="hybridMultilevel"/>
    <w:tmpl w:val="CF9AEA4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991B47"/>
    <w:multiLevelType w:val="hybridMultilevel"/>
    <w:tmpl w:val="4EC2E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564531"/>
    <w:multiLevelType w:val="hybridMultilevel"/>
    <w:tmpl w:val="AAD4379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557234"/>
    <w:multiLevelType w:val="hybridMultilevel"/>
    <w:tmpl w:val="768EBE8C"/>
    <w:lvl w:ilvl="0" w:tplc="8C341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762024"/>
    <w:multiLevelType w:val="hybridMultilevel"/>
    <w:tmpl w:val="B13CEB5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9451A9"/>
    <w:multiLevelType w:val="hybridMultilevel"/>
    <w:tmpl w:val="D03ABD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802F0"/>
    <w:multiLevelType w:val="hybridMultilevel"/>
    <w:tmpl w:val="C4F0E7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127404"/>
    <w:multiLevelType w:val="hybridMultilevel"/>
    <w:tmpl w:val="426EE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D3D90"/>
    <w:multiLevelType w:val="hybridMultilevel"/>
    <w:tmpl w:val="1DDCFC3E"/>
    <w:lvl w:ilvl="0" w:tplc="75D26C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E45C52"/>
    <w:multiLevelType w:val="hybridMultilevel"/>
    <w:tmpl w:val="BC34CAB0"/>
    <w:lvl w:ilvl="0" w:tplc="576C47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526F3"/>
    <w:multiLevelType w:val="hybridMultilevel"/>
    <w:tmpl w:val="F93284A0"/>
    <w:lvl w:ilvl="0" w:tplc="C784973A">
      <w:start w:val="1"/>
      <w:numFmt w:val="bullet"/>
      <w:lvlText w:val="-"/>
      <w:lvlJc w:val="left"/>
      <w:pPr>
        <w:ind w:left="1800" w:hanging="360"/>
      </w:pPr>
      <w:rPr>
        <w:rFonts w:ascii="Trebuchet MS" w:eastAsia="Calibri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7E3EAD"/>
    <w:multiLevelType w:val="hybridMultilevel"/>
    <w:tmpl w:val="E7EC07D4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6D1B20"/>
    <w:multiLevelType w:val="hybridMultilevel"/>
    <w:tmpl w:val="4EC2E56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7712F66"/>
    <w:multiLevelType w:val="multilevel"/>
    <w:tmpl w:val="2E86412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lang w:val="ro-R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78934E8"/>
    <w:multiLevelType w:val="hybridMultilevel"/>
    <w:tmpl w:val="651661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A3E12A5"/>
    <w:multiLevelType w:val="hybridMultilevel"/>
    <w:tmpl w:val="01243FF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B50232"/>
    <w:multiLevelType w:val="hybridMultilevel"/>
    <w:tmpl w:val="C9F4386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C512BC"/>
    <w:multiLevelType w:val="hybridMultilevel"/>
    <w:tmpl w:val="A7E8F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C02F91"/>
    <w:multiLevelType w:val="hybridMultilevel"/>
    <w:tmpl w:val="FB6851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E2946BA"/>
    <w:multiLevelType w:val="hybridMultilevel"/>
    <w:tmpl w:val="159A341A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E3F7A85"/>
    <w:multiLevelType w:val="hybridMultilevel"/>
    <w:tmpl w:val="2C1EC972"/>
    <w:lvl w:ilvl="0" w:tplc="64D24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795B1E"/>
    <w:multiLevelType w:val="hybridMultilevel"/>
    <w:tmpl w:val="12A80D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112195"/>
    <w:multiLevelType w:val="hybridMultilevel"/>
    <w:tmpl w:val="159A341A"/>
    <w:lvl w:ilvl="0" w:tplc="50CE85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32556A"/>
    <w:multiLevelType w:val="hybridMultilevel"/>
    <w:tmpl w:val="2034D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86BF8"/>
    <w:multiLevelType w:val="hybridMultilevel"/>
    <w:tmpl w:val="BC34CAB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B7BAE"/>
    <w:multiLevelType w:val="hybridMultilevel"/>
    <w:tmpl w:val="6A34AB2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A481E"/>
    <w:multiLevelType w:val="hybridMultilevel"/>
    <w:tmpl w:val="D03A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869EE"/>
    <w:multiLevelType w:val="hybridMultilevel"/>
    <w:tmpl w:val="B4302B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150113"/>
    <w:multiLevelType w:val="hybridMultilevel"/>
    <w:tmpl w:val="A406F8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93331"/>
    <w:multiLevelType w:val="hybridMultilevel"/>
    <w:tmpl w:val="D03ABD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F87051"/>
    <w:multiLevelType w:val="hybridMultilevel"/>
    <w:tmpl w:val="DA687CB2"/>
    <w:lvl w:ilvl="0" w:tplc="8536EBD4">
      <w:start w:val="1"/>
      <w:numFmt w:val="bullet"/>
      <w:lvlText w:val="-"/>
      <w:lvlJc w:val="left"/>
      <w:pPr>
        <w:ind w:left="180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ED66598"/>
    <w:multiLevelType w:val="hybridMultilevel"/>
    <w:tmpl w:val="9CF88262"/>
    <w:lvl w:ilvl="0" w:tplc="65248812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886C3A"/>
    <w:multiLevelType w:val="hybridMultilevel"/>
    <w:tmpl w:val="A406F8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21E79"/>
    <w:multiLevelType w:val="hybridMultilevel"/>
    <w:tmpl w:val="9F8AE3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D62305"/>
    <w:multiLevelType w:val="hybridMultilevel"/>
    <w:tmpl w:val="744AC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3EA1B7E"/>
    <w:multiLevelType w:val="hybridMultilevel"/>
    <w:tmpl w:val="AB86C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A23C99"/>
    <w:multiLevelType w:val="hybridMultilevel"/>
    <w:tmpl w:val="E0B2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A83A69"/>
    <w:multiLevelType w:val="hybridMultilevel"/>
    <w:tmpl w:val="B09E453A"/>
    <w:lvl w:ilvl="0" w:tplc="F0EC44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B2A3B3D"/>
    <w:multiLevelType w:val="hybridMultilevel"/>
    <w:tmpl w:val="9B9E6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AA0819"/>
    <w:multiLevelType w:val="hybridMultilevel"/>
    <w:tmpl w:val="C1824D1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3578533">
    <w:abstractNumId w:val="0"/>
  </w:num>
  <w:num w:numId="2" w16cid:durableId="400756315">
    <w:abstractNumId w:val="8"/>
  </w:num>
  <w:num w:numId="3" w16cid:durableId="541208467">
    <w:abstractNumId w:val="21"/>
  </w:num>
  <w:num w:numId="4" w16cid:durableId="702486474">
    <w:abstractNumId w:val="34"/>
  </w:num>
  <w:num w:numId="5" w16cid:durableId="485241142">
    <w:abstractNumId w:val="52"/>
  </w:num>
  <w:num w:numId="6" w16cid:durableId="714356199">
    <w:abstractNumId w:val="17"/>
  </w:num>
  <w:num w:numId="7" w16cid:durableId="1143742111">
    <w:abstractNumId w:val="4"/>
  </w:num>
  <w:num w:numId="8" w16cid:durableId="651524752">
    <w:abstractNumId w:val="30"/>
  </w:num>
  <w:num w:numId="9" w16cid:durableId="1692145538">
    <w:abstractNumId w:val="35"/>
  </w:num>
  <w:num w:numId="10" w16cid:durableId="699168316">
    <w:abstractNumId w:val="32"/>
  </w:num>
  <w:num w:numId="11" w16cid:durableId="1849828042">
    <w:abstractNumId w:val="43"/>
  </w:num>
  <w:num w:numId="12" w16cid:durableId="67924433">
    <w:abstractNumId w:val="23"/>
  </w:num>
  <w:num w:numId="13" w16cid:durableId="1727797990">
    <w:abstractNumId w:val="20"/>
  </w:num>
  <w:num w:numId="14" w16cid:durableId="1016544884">
    <w:abstractNumId w:val="49"/>
  </w:num>
  <w:num w:numId="15" w16cid:durableId="150221213">
    <w:abstractNumId w:val="39"/>
  </w:num>
  <w:num w:numId="16" w16cid:durableId="1521967661">
    <w:abstractNumId w:val="51"/>
  </w:num>
  <w:num w:numId="17" w16cid:durableId="949508476">
    <w:abstractNumId w:val="44"/>
  </w:num>
  <w:num w:numId="18" w16cid:durableId="14624981">
    <w:abstractNumId w:val="41"/>
  </w:num>
  <w:num w:numId="19" w16cid:durableId="704526299">
    <w:abstractNumId w:val="22"/>
  </w:num>
  <w:num w:numId="20" w16cid:durableId="1423136986">
    <w:abstractNumId w:val="37"/>
  </w:num>
  <w:num w:numId="21" w16cid:durableId="1347755520">
    <w:abstractNumId w:val="9"/>
  </w:num>
  <w:num w:numId="22" w16cid:durableId="19747708">
    <w:abstractNumId w:val="45"/>
  </w:num>
  <w:num w:numId="23" w16cid:durableId="1998921790">
    <w:abstractNumId w:val="33"/>
  </w:num>
  <w:num w:numId="24" w16cid:durableId="1981421536">
    <w:abstractNumId w:val="16"/>
  </w:num>
  <w:num w:numId="25" w16cid:durableId="1173644042">
    <w:abstractNumId w:val="50"/>
  </w:num>
  <w:num w:numId="26" w16cid:durableId="1678578650">
    <w:abstractNumId w:val="42"/>
  </w:num>
  <w:num w:numId="27" w16cid:durableId="1546091913">
    <w:abstractNumId w:val="18"/>
  </w:num>
  <w:num w:numId="28" w16cid:durableId="2107575067">
    <w:abstractNumId w:val="28"/>
  </w:num>
  <w:num w:numId="29" w16cid:durableId="2084524949">
    <w:abstractNumId w:val="13"/>
  </w:num>
  <w:num w:numId="30" w16cid:durableId="613832170">
    <w:abstractNumId w:val="26"/>
  </w:num>
  <w:num w:numId="31" w16cid:durableId="1202595786">
    <w:abstractNumId w:val="11"/>
  </w:num>
  <w:num w:numId="32" w16cid:durableId="807824489">
    <w:abstractNumId w:val="27"/>
  </w:num>
  <w:num w:numId="33" w16cid:durableId="1026911523">
    <w:abstractNumId w:val="38"/>
  </w:num>
  <w:num w:numId="34" w16cid:durableId="2104034067">
    <w:abstractNumId w:val="12"/>
  </w:num>
  <w:num w:numId="35" w16cid:durableId="688993083">
    <w:abstractNumId w:val="6"/>
  </w:num>
  <w:num w:numId="36" w16cid:durableId="1283420911">
    <w:abstractNumId w:val="2"/>
  </w:num>
  <w:num w:numId="37" w16cid:durableId="1542129239">
    <w:abstractNumId w:val="29"/>
  </w:num>
  <w:num w:numId="38" w16cid:durableId="1126508609">
    <w:abstractNumId w:val="3"/>
  </w:num>
  <w:num w:numId="39" w16cid:durableId="4288143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7384385">
    <w:abstractNumId w:val="31"/>
  </w:num>
  <w:num w:numId="41" w16cid:durableId="533809694">
    <w:abstractNumId w:val="14"/>
  </w:num>
  <w:num w:numId="42" w16cid:durableId="2034377084">
    <w:abstractNumId w:val="1"/>
  </w:num>
  <w:num w:numId="43" w16cid:durableId="762148621">
    <w:abstractNumId w:val="15"/>
  </w:num>
  <w:num w:numId="44" w16cid:durableId="1404985838">
    <w:abstractNumId w:val="25"/>
  </w:num>
  <w:num w:numId="45" w16cid:durableId="988554382">
    <w:abstractNumId w:val="10"/>
  </w:num>
  <w:num w:numId="46" w16cid:durableId="1146898318">
    <w:abstractNumId w:val="24"/>
  </w:num>
  <w:num w:numId="47" w16cid:durableId="212161293">
    <w:abstractNumId w:val="46"/>
  </w:num>
  <w:num w:numId="48" w16cid:durableId="649528528">
    <w:abstractNumId w:val="40"/>
  </w:num>
  <w:num w:numId="49" w16cid:durableId="951325121">
    <w:abstractNumId w:val="7"/>
  </w:num>
  <w:num w:numId="50" w16cid:durableId="2097898608">
    <w:abstractNumId w:val="47"/>
  </w:num>
  <w:num w:numId="51" w16cid:durableId="1500996204">
    <w:abstractNumId w:val="5"/>
  </w:num>
  <w:num w:numId="52" w16cid:durableId="111287966">
    <w:abstractNumId w:val="36"/>
  </w:num>
  <w:num w:numId="53" w16cid:durableId="687219900">
    <w:abstractNumId w:val="48"/>
  </w:num>
  <w:num w:numId="54" w16cid:durableId="3440175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C4"/>
    <w:rsid w:val="00042DDB"/>
    <w:rsid w:val="000464B5"/>
    <w:rsid w:val="000E4AC4"/>
    <w:rsid w:val="0016065C"/>
    <w:rsid w:val="00162810"/>
    <w:rsid w:val="00163028"/>
    <w:rsid w:val="001F4EA7"/>
    <w:rsid w:val="001F7E96"/>
    <w:rsid w:val="0022629D"/>
    <w:rsid w:val="00231411"/>
    <w:rsid w:val="0024354D"/>
    <w:rsid w:val="0024436E"/>
    <w:rsid w:val="00247E52"/>
    <w:rsid w:val="00293DD7"/>
    <w:rsid w:val="002E5E1F"/>
    <w:rsid w:val="00302A14"/>
    <w:rsid w:val="00305F21"/>
    <w:rsid w:val="003446EC"/>
    <w:rsid w:val="003B7947"/>
    <w:rsid w:val="003D2A8A"/>
    <w:rsid w:val="003D5411"/>
    <w:rsid w:val="003D5AAB"/>
    <w:rsid w:val="003E00FB"/>
    <w:rsid w:val="00413FD2"/>
    <w:rsid w:val="0041795F"/>
    <w:rsid w:val="004317EC"/>
    <w:rsid w:val="00444EAD"/>
    <w:rsid w:val="0046641A"/>
    <w:rsid w:val="00481B2F"/>
    <w:rsid w:val="004B7F50"/>
    <w:rsid w:val="004C2FE9"/>
    <w:rsid w:val="004C6C9A"/>
    <w:rsid w:val="004E1276"/>
    <w:rsid w:val="004F6B51"/>
    <w:rsid w:val="00506B36"/>
    <w:rsid w:val="00510643"/>
    <w:rsid w:val="00554F9F"/>
    <w:rsid w:val="005F68EB"/>
    <w:rsid w:val="00641531"/>
    <w:rsid w:val="006912C4"/>
    <w:rsid w:val="007168E8"/>
    <w:rsid w:val="00743BDC"/>
    <w:rsid w:val="0077763B"/>
    <w:rsid w:val="007825A6"/>
    <w:rsid w:val="007915CA"/>
    <w:rsid w:val="0079345C"/>
    <w:rsid w:val="007D24D8"/>
    <w:rsid w:val="007D757F"/>
    <w:rsid w:val="007E5066"/>
    <w:rsid w:val="008153AD"/>
    <w:rsid w:val="0083005E"/>
    <w:rsid w:val="00860454"/>
    <w:rsid w:val="00875CD4"/>
    <w:rsid w:val="008B4C52"/>
    <w:rsid w:val="008D326E"/>
    <w:rsid w:val="008E56FF"/>
    <w:rsid w:val="009634BB"/>
    <w:rsid w:val="0099001D"/>
    <w:rsid w:val="009A2F02"/>
    <w:rsid w:val="009B57F2"/>
    <w:rsid w:val="009B69C1"/>
    <w:rsid w:val="009B7B44"/>
    <w:rsid w:val="009D46B8"/>
    <w:rsid w:val="009D6DC1"/>
    <w:rsid w:val="009E53E3"/>
    <w:rsid w:val="00A2537F"/>
    <w:rsid w:val="00A37735"/>
    <w:rsid w:val="00A879F7"/>
    <w:rsid w:val="00A95274"/>
    <w:rsid w:val="00AA02DF"/>
    <w:rsid w:val="00AD1714"/>
    <w:rsid w:val="00B1494A"/>
    <w:rsid w:val="00BF5686"/>
    <w:rsid w:val="00C030BF"/>
    <w:rsid w:val="00C267E2"/>
    <w:rsid w:val="00C579F1"/>
    <w:rsid w:val="00C956E1"/>
    <w:rsid w:val="00C96943"/>
    <w:rsid w:val="00C973F2"/>
    <w:rsid w:val="00CD254B"/>
    <w:rsid w:val="00D30F35"/>
    <w:rsid w:val="00D82DE6"/>
    <w:rsid w:val="00DA61FF"/>
    <w:rsid w:val="00DE029B"/>
    <w:rsid w:val="00DE14F4"/>
    <w:rsid w:val="00DF2246"/>
    <w:rsid w:val="00DF2CFB"/>
    <w:rsid w:val="00E23785"/>
    <w:rsid w:val="00E728D9"/>
    <w:rsid w:val="00E86F9C"/>
    <w:rsid w:val="00E902EA"/>
    <w:rsid w:val="00E967D9"/>
    <w:rsid w:val="00EC28BB"/>
    <w:rsid w:val="00EC3548"/>
    <w:rsid w:val="00F20868"/>
    <w:rsid w:val="00F34003"/>
    <w:rsid w:val="00F56E09"/>
    <w:rsid w:val="00F62DE4"/>
    <w:rsid w:val="00F80461"/>
    <w:rsid w:val="00F9720E"/>
    <w:rsid w:val="00F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99DC"/>
  <w15:chartTrackingRefBased/>
  <w15:docId w15:val="{757F1E4B-AC22-41DC-AD6B-8CC20D87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454"/>
    <w:rPr>
      <w:color w:val="0563C1" w:themeColor="hyperlink"/>
      <w:u w:val="single"/>
    </w:rPr>
  </w:style>
  <w:style w:type="paragraph" w:styleId="ListParagraph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,List L1"/>
    <w:basedOn w:val="Normal"/>
    <w:link w:val="ListParagraphChar"/>
    <w:uiPriority w:val="34"/>
    <w:qFormat/>
    <w:rsid w:val="00860454"/>
    <w:pPr>
      <w:ind w:left="720"/>
      <w:contextualSpacing/>
    </w:pPr>
  </w:style>
  <w:style w:type="character" w:customStyle="1" w:styleId="ListParagraphChar">
    <w:name w:val="List Paragraph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  <w:rsid w:val="00860454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75C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7F2"/>
    <w:rPr>
      <w:color w:val="954F72" w:themeColor="followedHyperlink"/>
      <w:u w:val="single"/>
    </w:rPr>
  </w:style>
  <w:style w:type="paragraph" w:customStyle="1" w:styleId="sden">
    <w:name w:val="s_den"/>
    <w:basedOn w:val="Normal"/>
    <w:rsid w:val="00777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hdr">
    <w:name w:val="s_hdr"/>
    <w:basedOn w:val="Normal"/>
    <w:rsid w:val="00777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r">
    <w:name w:val="s_par"/>
    <w:basedOn w:val="Normal"/>
    <w:rsid w:val="00777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lex.europa.eu/legal-content/RO/TXT/?uri=CELEX:52021PC0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lex.europa.eu/legal-content/RO/TXT/?uri=CELEX%3A32018R17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-lex.europa.eu/legalcontent/RO/TXT/HTML/?uri=CELEX:32022R0868&amp;from=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content/RO/TXT/HTML/?uri=CELEX:52022PC0068&amp;from=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Gavrilita</dc:creator>
  <cp:keywords/>
  <dc:description/>
  <cp:lastModifiedBy>Catalina Goidan</cp:lastModifiedBy>
  <cp:revision>5</cp:revision>
  <cp:lastPrinted>2023-04-27T13:49:00Z</cp:lastPrinted>
  <dcterms:created xsi:type="dcterms:W3CDTF">2023-04-25T07:31:00Z</dcterms:created>
  <dcterms:modified xsi:type="dcterms:W3CDTF">2023-04-27T13:56:00Z</dcterms:modified>
</cp:coreProperties>
</file>