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06"/>
        <w:tblW w:w="98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664"/>
        <w:gridCol w:w="2159"/>
      </w:tblGrid>
      <w:tr w:rsidR="00812D53" w:rsidRPr="003F2B2E" w14:paraId="06CD4B4D" w14:textId="77777777" w:rsidTr="005A5CF7">
        <w:trPr>
          <w:trHeight w:val="647"/>
          <w:tblCellSpacing w:w="0" w:type="dxa"/>
        </w:trPr>
        <w:tc>
          <w:tcPr>
            <w:tcW w:w="3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35D45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Denumirea autorităţii sau instituţiei publice: </w:t>
            </w:r>
          </w:p>
          <w:p w14:paraId="000DF663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AUTORITATEA PENTRU DIGITALIZAREA ROMÂNIEI</w:t>
            </w:r>
          </w:p>
        </w:tc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2B1F108" w14:textId="77777777" w:rsidR="00812D53" w:rsidRPr="005A1436" w:rsidRDefault="00812D53" w:rsidP="006C1112">
            <w:pPr>
              <w:spacing w:line="480" w:lineRule="auto"/>
              <w:jc w:val="center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5A143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APROB,</w:t>
            </w:r>
          </w:p>
          <w:p w14:paraId="6F789B2B" w14:textId="77777777" w:rsidR="00812D53" w:rsidRPr="005A1436" w:rsidRDefault="00812D53" w:rsidP="006C1112">
            <w:pPr>
              <w:spacing w:line="480" w:lineRule="auto"/>
              <w:jc w:val="center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5A143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PREȘEDINTE</w:t>
            </w:r>
          </w:p>
          <w:p w14:paraId="00E5B13E" w14:textId="77777777" w:rsidR="00812D53" w:rsidRPr="003F2B2E" w:rsidRDefault="00812D53" w:rsidP="006C1112">
            <w:pPr>
              <w:jc w:val="center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812D53" w:rsidRPr="003F2B2E" w14:paraId="3AB22F8F" w14:textId="77777777" w:rsidTr="005A5CF7">
        <w:trPr>
          <w:trHeight w:val="647"/>
          <w:tblCellSpacing w:w="0" w:type="dxa"/>
        </w:trPr>
        <w:tc>
          <w:tcPr>
            <w:tcW w:w="3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E9029" w14:textId="77777777" w:rsidR="00812D53" w:rsidRPr="003F2B2E" w:rsidRDefault="00DC7579" w:rsidP="003A03FB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Serviciul </w:t>
            </w: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PCUe</w:t>
            </w:r>
          </w:p>
        </w:tc>
        <w:tc>
          <w:tcPr>
            <w:tcW w:w="10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B7D22F0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</w:p>
        </w:tc>
      </w:tr>
    </w:tbl>
    <w:p w14:paraId="60D7656D" w14:textId="77777777" w:rsidR="00AA54C9" w:rsidRDefault="00AA54C9" w:rsidP="00DB4EF0">
      <w:pPr>
        <w:shd w:val="clear" w:color="auto" w:fill="FFFFFF"/>
        <w:rPr>
          <w:rFonts w:ascii="Trebuchet MS" w:hAnsi="Trebuchet MS"/>
          <w:b/>
          <w:bCs/>
          <w:sz w:val="22"/>
          <w:szCs w:val="22"/>
          <w:lang w:val="ro-RO" w:eastAsia="ro-RO"/>
        </w:rPr>
      </w:pPr>
    </w:p>
    <w:p w14:paraId="425AF6B1" w14:textId="77777777" w:rsidR="00AA54C9" w:rsidRDefault="00AA54C9" w:rsidP="00DB4EF0">
      <w:pPr>
        <w:shd w:val="clear" w:color="auto" w:fill="FFFFFF"/>
        <w:rPr>
          <w:rFonts w:ascii="Trebuchet MS" w:hAnsi="Trebuchet MS"/>
          <w:b/>
          <w:bCs/>
          <w:sz w:val="22"/>
          <w:szCs w:val="22"/>
          <w:lang w:val="ro-RO" w:eastAsia="ro-RO"/>
        </w:rPr>
      </w:pPr>
    </w:p>
    <w:p w14:paraId="36B6B3F3" w14:textId="77777777" w:rsidR="00812D53" w:rsidRPr="003F2B2E" w:rsidRDefault="00AA54C9" w:rsidP="00DB4EF0">
      <w:pPr>
        <w:shd w:val="clear" w:color="auto" w:fill="FFFFFF"/>
        <w:rPr>
          <w:rFonts w:ascii="Trebuchet MS" w:hAnsi="Trebuchet MS"/>
          <w:b/>
          <w:bCs/>
          <w:sz w:val="22"/>
          <w:szCs w:val="22"/>
          <w:lang w:val="ro-RO" w:eastAsia="ro-RO"/>
        </w:rPr>
      </w:pPr>
      <w:r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                                                    </w:t>
      </w:r>
      <w:r w:rsidR="00CA51EB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  </w:t>
      </w:r>
      <w:r w:rsidR="00DB4EF0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  </w:t>
      </w:r>
      <w:r w:rsidR="00812D53" w:rsidRPr="003F2B2E">
        <w:rPr>
          <w:rFonts w:ascii="Trebuchet MS" w:hAnsi="Trebuchet MS"/>
          <w:b/>
          <w:bCs/>
          <w:sz w:val="22"/>
          <w:szCs w:val="22"/>
          <w:lang w:val="ro-RO" w:eastAsia="ro-RO"/>
        </w:rPr>
        <w:t>FIŞA POSTULUI</w:t>
      </w:r>
      <w:bookmarkStart w:id="0" w:name="do_ax1_pa3"/>
      <w:bookmarkEnd w:id="0"/>
    </w:p>
    <w:p w14:paraId="1A224E57" w14:textId="77777777" w:rsidR="00812D53" w:rsidRPr="003F2B2E" w:rsidRDefault="00812D53" w:rsidP="00812D53">
      <w:pPr>
        <w:shd w:val="clear" w:color="auto" w:fill="FFFFFF"/>
        <w:rPr>
          <w:rFonts w:ascii="Trebuchet MS" w:hAnsi="Trebuchet MS"/>
          <w:b/>
          <w:bCs/>
          <w:sz w:val="22"/>
          <w:szCs w:val="22"/>
          <w:lang w:val="ro-RO" w:eastAsia="ro-RO"/>
        </w:rPr>
      </w:pPr>
      <w:r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                                                             Nr.............</w:t>
      </w:r>
      <w:r w:rsidRPr="003F2B2E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 </w:t>
      </w:r>
    </w:p>
    <w:p w14:paraId="536C76BA" w14:textId="77777777" w:rsidR="00812D53" w:rsidRPr="003F2B2E" w:rsidRDefault="00812D53" w:rsidP="00812D53">
      <w:pPr>
        <w:shd w:val="clear" w:color="auto" w:fill="FFFFFF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tbl>
      <w:tblPr>
        <w:tblW w:w="96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75"/>
      </w:tblGrid>
      <w:tr w:rsidR="00812D53" w:rsidRPr="003F2B2E" w14:paraId="2250E10F" w14:textId="77777777" w:rsidTr="00877D88">
        <w:trPr>
          <w:trHeight w:val="3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39BE9" w14:textId="77777777" w:rsidR="00812D53" w:rsidRPr="008F2B21" w:rsidRDefault="00812D53" w:rsidP="008F2B21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bookmarkStart w:id="1" w:name="do_ax1_pa4"/>
            <w:bookmarkEnd w:id="1"/>
            <w:r w:rsidRPr="008F2B21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Informaţii generale privind postul</w:t>
            </w:r>
          </w:p>
        </w:tc>
      </w:tr>
      <w:tr w:rsidR="00877D88" w:rsidRPr="00AC257D" w14:paraId="31471BD2" w14:textId="77777777" w:rsidTr="00877D88">
        <w:trPr>
          <w:trHeight w:val="32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6C4C3" w14:textId="77777777" w:rsidR="00877D88" w:rsidRPr="003F2B2E" w:rsidRDefault="00877D88" w:rsidP="00877D88">
            <w:pPr>
              <w:spacing w:before="120" w:after="120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1.</w:t>
            </w:r>
            <w:r w:rsidR="008F2B21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</w:t>
            </w: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Nivelul postului: Funcție contractuală de</w:t>
            </w: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execuție</w:t>
            </w:r>
          </w:p>
        </w:tc>
      </w:tr>
      <w:tr w:rsidR="00812D53" w:rsidRPr="00AC257D" w14:paraId="6276E808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31CDC" w14:textId="77777777" w:rsidR="00812D53" w:rsidRPr="008D6522" w:rsidRDefault="00877D88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fr-FR"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2</w:t>
            </w:r>
            <w:r w:rsidR="00812D53"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. </w:t>
            </w:r>
            <w:r w:rsidR="00812D53" w:rsidRPr="008D6522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Denumirea postului: </w:t>
            </w:r>
            <w:r w:rsidR="000056F5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Consilier </w:t>
            </w:r>
            <w:r w:rsidR="00812D53" w:rsidRPr="008D6522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gradul IA</w:t>
            </w:r>
          </w:p>
        </w:tc>
      </w:tr>
      <w:tr w:rsidR="00812D53" w:rsidRPr="00877D88" w14:paraId="3653CDB0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05905" w14:textId="77777777" w:rsidR="00812D53" w:rsidRPr="00877D88" w:rsidRDefault="00B73856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3</w:t>
            </w:r>
            <w:r w:rsidR="00812D53"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. </w:t>
            </w:r>
            <w:r w:rsidR="00877D88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Gradul: </w:t>
            </w:r>
            <w:r w:rsidR="00714A1F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IA</w:t>
            </w:r>
          </w:p>
        </w:tc>
      </w:tr>
      <w:tr w:rsidR="00812D53" w:rsidRPr="001F1050" w14:paraId="433EF6E3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6AD9B" w14:textId="77777777" w:rsidR="00442A8B" w:rsidRPr="00442A8B" w:rsidRDefault="00B73856" w:rsidP="006C1112">
            <w:pPr>
              <w:jc w:val="both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4</w:t>
            </w:r>
            <w:r w:rsidR="00812D53"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. Scopul principal al postului: </w:t>
            </w:r>
            <w:r w:rsidR="00812D53" w:rsidRPr="00242C60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Realizarea obiectivelor în vederea satisfacerii cerințelor ca urmare a activităților specifice Serviciului Punctul de Contact Unic electronic</w:t>
            </w:r>
            <w:r w:rsidR="001C0397" w:rsidRPr="00242C60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 </w:t>
            </w:r>
          </w:p>
        </w:tc>
      </w:tr>
      <w:tr w:rsidR="00812D53" w:rsidRPr="003F2B2E" w14:paraId="446D937F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24BAA" w14:textId="77777777" w:rsidR="00812D53" w:rsidRPr="008F2B21" w:rsidRDefault="00812D53" w:rsidP="008F2B21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8F2B21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Condiţii specifice pentru ocuparea postului</w:t>
            </w:r>
            <w:r w:rsidRPr="008F2B21">
              <w:rPr>
                <w:rFonts w:ascii="Trebuchet MS" w:hAnsi="Trebuchet MS" w:cs="Verdana"/>
                <w:b/>
                <w:color w:val="000000"/>
                <w:sz w:val="22"/>
                <w:szCs w:val="22"/>
                <w:vertAlign w:val="superscript"/>
                <w:lang w:val="ro-RO" w:eastAsia="ro-RO"/>
              </w:rPr>
              <w:t xml:space="preserve"> </w:t>
            </w:r>
          </w:p>
        </w:tc>
      </w:tr>
      <w:tr w:rsidR="00812D53" w:rsidRPr="00E75568" w14:paraId="7D8B92B0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047B4" w14:textId="77777777" w:rsidR="00666B9D" w:rsidRPr="007E2647" w:rsidRDefault="00B57E9A" w:rsidP="00A01074">
            <w:pPr>
              <w:jc w:val="both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1.</w:t>
            </w:r>
            <w:r w:rsidR="008F2B21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 </w:t>
            </w:r>
            <w:r w:rsidR="00812D53" w:rsidRPr="00B57E9A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Studii de specialitate: 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 w:eastAsia="ro-RO"/>
              </w:rPr>
              <w:t>studii universitare de licenţă absolvite cu diplomă de licență sau echivalentă în unul din domeniile fundamentale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eastAsia="ro-RO"/>
              </w:rPr>
              <w:t>:</w:t>
            </w:r>
            <w:r w:rsidR="0066706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eastAsia="ro-RO"/>
              </w:rPr>
              <w:t>științe</w:t>
            </w:r>
            <w:proofErr w:type="spellEnd"/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eastAsia="ro-RO"/>
              </w:rPr>
              <w:t>sociale</w:t>
            </w:r>
            <w:proofErr w:type="spellEnd"/>
            <w:r w:rsidR="0007645B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eastAsia="ro-RO"/>
              </w:rPr>
              <w:t>(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 w:eastAsia="ro-RO"/>
              </w:rPr>
              <w:t>științe juridice, științe administrative,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 xml:space="preserve"> științe ale comunicării, sociologie, științe politice, științe militare, informații și ordine publică, 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științe economice, 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 xml:space="preserve">psihologie și științe comportamentale), 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ș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tiin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ț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 xml:space="preserve">e umaniste 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ș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i arte cu toate ramurile asociate, matematic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ă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ș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i stiin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ț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 xml:space="preserve">e ale naturii cu toate ramurile asociate, 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ș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tiin</w:t>
            </w:r>
            <w:r w:rsidR="0037696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ț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e inginere</w:t>
            </w:r>
            <w:r w:rsidR="00A4395C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ș</w:t>
            </w:r>
            <w:r w:rsidR="0037696A" w:rsidRPr="00B57E9A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ti cu toate ramurile asociate</w:t>
            </w:r>
          </w:p>
        </w:tc>
      </w:tr>
      <w:tr w:rsidR="00812D53" w:rsidRPr="0022705B" w14:paraId="103E2B9B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76305" w14:textId="77777777" w:rsidR="00DB4EF0" w:rsidRDefault="00DB4EF0" w:rsidP="006C1112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</w:p>
          <w:p w14:paraId="5AEEA509" w14:textId="77777777" w:rsidR="00812D53" w:rsidRPr="003F2B2E" w:rsidRDefault="00812D53" w:rsidP="006C1112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2. Perfecţionări (specializări): </w:t>
            </w:r>
            <w:r w:rsidR="00E471CF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-</w:t>
            </w:r>
          </w:p>
        </w:tc>
      </w:tr>
      <w:tr w:rsidR="00812D53" w:rsidRPr="003F2B2E" w14:paraId="07ACEFEE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8AE9" w14:textId="77777777" w:rsidR="00812D53" w:rsidRPr="003F2B2E" w:rsidRDefault="00812D53" w:rsidP="006C1112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3. Cunoştinţe de operare</w:t>
            </w: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/programare pe calculator (necesitate şi nivel): </w:t>
            </w: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nivel mediu M</w:t>
            </w:r>
            <w:r w:rsidR="008F3592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S </w:t>
            </w: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Office</w:t>
            </w:r>
            <w:r w:rsidR="00A87844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-Word, Excel, Power Point</w:t>
            </w:r>
          </w:p>
        </w:tc>
      </w:tr>
      <w:tr w:rsidR="00812D53" w:rsidRPr="003F2B2E" w14:paraId="2BEB2E75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246D" w14:textId="77777777" w:rsidR="00812D53" w:rsidRPr="003F2B2E" w:rsidRDefault="00812D53" w:rsidP="006C1112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4. </w:t>
            </w:r>
            <w:r w:rsidRPr="005A143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Limbi străine (necesitate şi nivel)</w:t>
            </w:r>
            <w:r w:rsidR="004F50E4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 cunoscute </w:t>
            </w:r>
            <w:r w:rsidRPr="005A143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: </w:t>
            </w:r>
            <w:r w:rsidRPr="005A1436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 w:eastAsia="ro-RO"/>
              </w:rPr>
              <w:t>limba engleză mediu (scris, vorbit, citit)</w:t>
            </w:r>
          </w:p>
        </w:tc>
      </w:tr>
      <w:tr w:rsidR="00812D53" w:rsidRPr="00666B9D" w14:paraId="368B96FA" w14:textId="77777777" w:rsidTr="00056A03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21591" w14:textId="77777777" w:rsidR="008F2B21" w:rsidRDefault="008F2B21" w:rsidP="006C1112">
            <w:pPr>
              <w:jc w:val="both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</w:p>
          <w:p w14:paraId="65E25E6C" w14:textId="77777777" w:rsidR="00812D53" w:rsidRPr="00805DBA" w:rsidRDefault="00812D53" w:rsidP="006C1112">
            <w:pPr>
              <w:jc w:val="both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805DBA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5. </w:t>
            </w:r>
            <w:r w:rsidRPr="00666B9D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Abilităţi, calităţi şi aptitudini necesare:</w:t>
            </w:r>
            <w:r w:rsidRPr="00805DBA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 </w:t>
            </w:r>
          </w:p>
          <w:p w14:paraId="384D5417" w14:textId="77777777" w:rsidR="00666B9D" w:rsidRPr="00310F06" w:rsidRDefault="00666B9D" w:rsidP="00666B9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 xml:space="preserve">Abilități de comunicare </w:t>
            </w:r>
          </w:p>
          <w:p w14:paraId="099FBDB1" w14:textId="77777777" w:rsidR="00666B9D" w:rsidRPr="00310F06" w:rsidRDefault="00666B9D" w:rsidP="00666B9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Abilități de a redactata documentele necesare în relaționarea cu instituțiile din administrația publică și organismele profesionale: adrese, rapoarte, minute</w:t>
            </w:r>
          </w:p>
          <w:p w14:paraId="503CDFC7" w14:textId="77777777" w:rsidR="00666B9D" w:rsidRPr="00310F06" w:rsidRDefault="00666B9D" w:rsidP="00666B9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Capacitatea de a colabora cu autorităț</w:t>
            </w:r>
            <w:r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ile competente din Româ</w:t>
            </w: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nia și cu organismele europene</w:t>
            </w:r>
          </w:p>
          <w:p w14:paraId="4A61C323" w14:textId="77777777" w:rsidR="00666B9D" w:rsidRPr="00310F06" w:rsidRDefault="00666B9D" w:rsidP="00666B9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 xml:space="preserve">Abilitatea de </w:t>
            </w:r>
            <w:r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analiza ș</w:t>
            </w: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i de a lua cele mai bune decizii</w:t>
            </w:r>
          </w:p>
          <w:p w14:paraId="2387FA7F" w14:textId="77777777" w:rsidR="00666B9D" w:rsidRPr="00310F06" w:rsidRDefault="00666B9D" w:rsidP="00666B9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Abili</w:t>
            </w:r>
            <w:r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tatea de a lucra în echipă</w:t>
            </w: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 xml:space="preserve"> </w:t>
            </w:r>
          </w:p>
          <w:p w14:paraId="32A19961" w14:textId="77777777" w:rsidR="00666B9D" w:rsidRDefault="00666B9D" w:rsidP="00666B9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  <w:r w:rsidRPr="00310F06"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Capacitatea de a rezolva probleme complexe</w:t>
            </w:r>
          </w:p>
          <w:p w14:paraId="7C85DD66" w14:textId="77777777" w:rsidR="00812D53" w:rsidRPr="001B156E" w:rsidRDefault="00666B9D" w:rsidP="001B156E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sz w:val="22"/>
                <w:szCs w:val="22"/>
                <w:lang w:val="ro-RO" w:eastAsia="ro-RO"/>
              </w:rPr>
              <w:t>O cunoaștere temeinică a legislației europene și naționale care guvernează PCUe</w:t>
            </w:r>
          </w:p>
        </w:tc>
      </w:tr>
      <w:tr w:rsidR="00812D53" w:rsidRPr="00AC257D" w14:paraId="41E53772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BD7A7" w14:textId="77777777" w:rsidR="009301DA" w:rsidRDefault="00812D53" w:rsidP="004D0E4E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666B9D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6. Cerinţe specifice:</w:t>
            </w: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</w:t>
            </w:r>
            <w:r w:rsidR="004D0E4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disponibilitate de a </w:t>
            </w:r>
            <w:r w:rsidR="009301DA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reprezenta institu</w:t>
            </w:r>
            <w:r w:rsidR="004B6243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ț</w:t>
            </w:r>
            <w:r w:rsidR="009301DA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ia la </w:t>
            </w:r>
            <w:r w:rsidR="004B6243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î</w:t>
            </w:r>
            <w:r w:rsidR="009301DA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nt</w:t>
            </w:r>
            <w:r w:rsidR="004B6243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â</w:t>
            </w:r>
            <w:r w:rsidR="009301DA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lnirile organizate de Comisia European</w:t>
            </w:r>
            <w:r w:rsidR="004B6243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ă</w:t>
            </w:r>
            <w:r w:rsidR="009301DA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</w:t>
            </w:r>
            <w:r w:rsidR="004B6243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sau organismele europene</w:t>
            </w:r>
            <w:r w:rsidR="009301DA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</w:t>
            </w:r>
            <w:r w:rsidR="00A53AC9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ș</w:t>
            </w:r>
            <w:r w:rsidR="009301DA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i </w:t>
            </w:r>
            <w:r w:rsidR="009301DA" w:rsidRPr="005C027F">
              <w:rPr>
                <w:rFonts w:ascii="Trebuchet MS" w:hAnsi="Trebuchet MS"/>
                <w:b/>
                <w:sz w:val="22"/>
                <w:szCs w:val="22"/>
                <w:lang w:val="it-IT"/>
              </w:rPr>
              <w:t>particip</w:t>
            </w:r>
            <w:r w:rsidR="009301DA">
              <w:rPr>
                <w:rFonts w:ascii="Trebuchet MS" w:hAnsi="Trebuchet MS"/>
                <w:b/>
                <w:sz w:val="22"/>
                <w:szCs w:val="22"/>
                <w:lang w:val="it-IT"/>
              </w:rPr>
              <w:t>area</w:t>
            </w:r>
            <w:r w:rsidR="009301DA" w:rsidRPr="005C027F">
              <w:rPr>
                <w:rFonts w:ascii="Trebuchet MS" w:hAnsi="Trebuchet MS"/>
                <w:b/>
                <w:sz w:val="22"/>
                <w:szCs w:val="22"/>
                <w:lang w:val="it-IT"/>
              </w:rPr>
              <w:t xml:space="preserve"> la evenimente</w:t>
            </w:r>
            <w:r w:rsidR="009301DA">
              <w:rPr>
                <w:rFonts w:ascii="Trebuchet MS" w:hAnsi="Trebuchet MS"/>
                <w:b/>
                <w:sz w:val="22"/>
                <w:szCs w:val="22"/>
                <w:lang w:val="it-IT"/>
              </w:rPr>
              <w:t>le</w:t>
            </w:r>
            <w:r w:rsidR="009301DA" w:rsidRPr="005C027F">
              <w:rPr>
                <w:rFonts w:ascii="Trebuchet MS" w:hAnsi="Trebuchet MS"/>
                <w:b/>
                <w:sz w:val="22"/>
                <w:szCs w:val="22"/>
                <w:lang w:val="it-IT"/>
              </w:rPr>
              <w:t xml:space="preserve"> naționale și internaționale din aria de competență a serviciului</w:t>
            </w:r>
          </w:p>
          <w:p w14:paraId="40FCEB8C" w14:textId="77777777" w:rsidR="00812D53" w:rsidRPr="00503A9B" w:rsidRDefault="004D0E4E" w:rsidP="004D0E4E">
            <w:pPr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</w:tc>
      </w:tr>
      <w:tr w:rsidR="00812D53" w:rsidRPr="00AC257D" w14:paraId="557BC03C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CE53C" w14:textId="77777777" w:rsidR="00812D53" w:rsidRDefault="00812D53" w:rsidP="006C1112">
            <w:pPr>
              <w:jc w:val="both"/>
              <w:rPr>
                <w:rFonts w:ascii="Trebuchet MS" w:hAnsi="Trebuchet MS" w:cs="Verdana"/>
                <w:color w:val="000000" w:themeColor="text1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lastRenderedPageBreak/>
              <w:t xml:space="preserve">7. Competenţa managerială (cunoştinţe de management, calităţi şi aptitudini manageriale): </w:t>
            </w:r>
            <w:r w:rsidRPr="003B4654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Nu este cazul</w:t>
            </w:r>
            <w:r w:rsidRPr="003B4654">
              <w:rPr>
                <w:rFonts w:ascii="Trebuchet MS" w:hAnsi="Trebuchet MS" w:cs="Verdana"/>
                <w:color w:val="000000" w:themeColor="text1"/>
                <w:sz w:val="22"/>
                <w:szCs w:val="22"/>
                <w:lang w:val="ro-RO" w:eastAsia="ro-RO"/>
              </w:rPr>
              <w:t xml:space="preserve"> </w:t>
            </w:r>
          </w:p>
          <w:p w14:paraId="6542F9F3" w14:textId="77777777" w:rsidR="00812D53" w:rsidRPr="003F2B2E" w:rsidRDefault="00812D53" w:rsidP="006C1112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812D53" w:rsidRPr="00877D88" w14:paraId="5F430C73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A994A" w14:textId="77777777" w:rsidR="00812D53" w:rsidRDefault="00851472" w:rsidP="00FB6E5F">
            <w:pPr>
              <w:spacing w:before="120" w:after="120"/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666B9D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C.</w:t>
            </w:r>
            <w:r w:rsidR="005A5CF7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 </w:t>
            </w:r>
            <w:r w:rsidR="00812D53" w:rsidRPr="00666B9D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Atribuţiile postului</w:t>
            </w:r>
          </w:p>
          <w:p w14:paraId="6B27570A" w14:textId="77777777" w:rsidR="00812D53" w:rsidRPr="003F2B2E" w:rsidRDefault="00812D53" w:rsidP="006C1112">
            <w:pPr>
              <w:spacing w:after="200" w:line="276" w:lineRule="auto"/>
              <w:contextualSpacing/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812D53" w:rsidRPr="00AC257D" w14:paraId="7D7D1349" w14:textId="77777777" w:rsidTr="006C1112">
        <w:trPr>
          <w:tblCellSpacing w:w="0" w:type="dxa"/>
          <w:jc w:val="center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BD62" w14:textId="77777777" w:rsidR="00AC257D" w:rsidRPr="00AC257D" w:rsidRDefault="00AC257D" w:rsidP="00AC257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Stabilește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un canal de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colaborare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noile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autorități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competente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înrolate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PDURo-pentru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încheierea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protocoalelor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colaborare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privind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interconectarea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acestora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ROeID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SITUE;</w:t>
            </w:r>
            <w:proofErr w:type="gramEnd"/>
          </w:p>
          <w:p w14:paraId="03201A9E" w14:textId="77777777" w:rsidR="00AC257D" w:rsidRPr="00AC257D" w:rsidRDefault="00AC257D" w:rsidP="00AC257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Participă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grupurile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lucru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autoritățile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furnizează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servicii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publice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pentru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livrarea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într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-un format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integrat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/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standardizat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procedurilor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nivel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național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prin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intermediul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PDURo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 ;</w:t>
            </w:r>
          </w:p>
          <w:p w14:paraId="01A9D3DA" w14:textId="77777777" w:rsidR="00AC257D" w:rsidRPr="00AC257D" w:rsidRDefault="00AC257D" w:rsidP="00AC257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Asigură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traducerea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periodică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informațiilor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postate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pe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PCUe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limba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engleză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conform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cerințelor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impuse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Comisia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Europeană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acord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prevederile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Regulamentului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 xml:space="preserve"> (UE) 2018/</w:t>
            </w:r>
            <w:proofErr w:type="gramStart"/>
            <w:r w:rsidRPr="00AC257D">
              <w:rPr>
                <w:rFonts w:ascii="Trebuchet MS" w:eastAsia="Google Sans Text" w:hAnsi="Trebuchet MS" w:cstheme="majorHAnsi"/>
                <w:b/>
                <w:color w:val="1B1C1D"/>
                <w:sz w:val="22"/>
                <w:szCs w:val="22"/>
                <w:lang w:val="fr-FR"/>
              </w:rPr>
              <w:t>1724;</w:t>
            </w:r>
            <w:proofErr w:type="gramEnd"/>
          </w:p>
          <w:p w14:paraId="6B310B5E" w14:textId="77777777" w:rsidR="00AC257D" w:rsidRPr="00AC257D" w:rsidRDefault="00AC257D" w:rsidP="00AC257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Elaborează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curricula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organizează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cursuri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de instruire</w:t>
            </w:r>
            <w:proofErr w:type="gram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pentru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utilizatorii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PDURo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ROeID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acord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atributiile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ADR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stipulate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 xml:space="preserve">HG nr.89/2020 de </w:t>
            </w:r>
            <w:proofErr w:type="spellStart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>organizare</w:t>
            </w:r>
            <w:proofErr w:type="spellEnd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> </w:t>
            </w:r>
            <w:proofErr w:type="spellStart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>functionare</w:t>
            </w:r>
            <w:proofErr w:type="spellEnd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>instituției</w:t>
            </w:r>
            <w:proofErr w:type="spellEnd"/>
            <w:r w:rsidRPr="00AC257D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val="fr-FR"/>
              </w:rPr>
              <w:t> ;</w:t>
            </w:r>
          </w:p>
          <w:p w14:paraId="538DF653" w14:textId="77777777" w:rsidR="00AC257D" w:rsidRPr="00AC257D" w:rsidRDefault="00AC257D" w:rsidP="00AC257D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Contribuie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implementarea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cadrului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național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pentru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identitatea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digitală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conformitate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prevederile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Regulamentului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(UE) 2024/1183 al PE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CE de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modificare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Regulamentului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(UE) nr.910/2014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ceea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ce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privește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instituirea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cadrului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european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pentru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identitate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digitală</w:t>
            </w:r>
            <w:proofErr w:type="spellEnd"/>
          </w:p>
          <w:p w14:paraId="082FAB71" w14:textId="77777777" w:rsidR="00AC257D" w:rsidRPr="00AC257D" w:rsidRDefault="00AC257D" w:rsidP="00AC257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Aplică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normele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privind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reglementarea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recunoașterea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aprobarea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sau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acceptarea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procedurii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identificare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persoanei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distanță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utilizând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mijloace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video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conformitate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Decizia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președintelui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ADR nr. 564/</w:t>
            </w:r>
            <w:proofErr w:type="gram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2021;</w:t>
            </w:r>
            <w:proofErr w:type="gramEnd"/>
          </w:p>
          <w:p w14:paraId="27D0C700" w14:textId="77777777" w:rsidR="00AC257D" w:rsidRPr="00AC257D" w:rsidRDefault="00AC257D" w:rsidP="00AC257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Asigură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interoperabilitatea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între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PDURo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ROeID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alte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sisteme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informatice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gestionate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instituțiile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publice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bookmarkStart w:id="2" w:name="_Hlk194667817"/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prin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aplicarea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Legii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nr.242/2022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Ordinul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nr.21.286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din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26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octombrie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2023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privind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aprobarea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Normelor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referință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pentru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realizarea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interoperabilității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domeniul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tehnologiei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informației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al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comunicațiilor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(NRRI</w:t>
            </w:r>
            <w:proofErr w:type="gram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);</w:t>
            </w:r>
            <w:proofErr w:type="gramEnd"/>
          </w:p>
          <w:bookmarkEnd w:id="2"/>
          <w:p w14:paraId="0F6F0047" w14:textId="77777777" w:rsidR="00AC257D" w:rsidRPr="00AC257D" w:rsidRDefault="00AC257D" w:rsidP="00AC257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Contribuie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asigurarea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cadrului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general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interoperabilitate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între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PCUe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/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PDURo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ROeID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Platforma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Națională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Interoperabilitate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(PNI) ;</w:t>
            </w:r>
          </w:p>
          <w:p w14:paraId="306A5CE4" w14:textId="77777777" w:rsidR="00AC257D" w:rsidRPr="00AC257D" w:rsidRDefault="00AC257D" w:rsidP="00AC257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Colaborează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departamentele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specializate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vederea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verificării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compatibilităţii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sistemelor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PCUe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/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PDURo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şi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ROeID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sistemele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implicate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schimbul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de date,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conformitate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legislația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vigoare</w:t>
            </w:r>
            <w:proofErr w:type="spell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;</w:t>
            </w:r>
            <w:proofErr w:type="gramEnd"/>
            <w:r w:rsidRPr="00AC257D">
              <w:rPr>
                <w:rFonts w:ascii="Trebuchet MS" w:eastAsia="Google Sans Text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7B7A5A09" w14:textId="77777777" w:rsidR="00AC257D" w:rsidRPr="00AC257D" w:rsidRDefault="00AC257D" w:rsidP="00AC257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Relaționare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instituțiile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furnizoare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dovezi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vederea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mapării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acestora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cu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1FDD08DA" w14:textId="77777777" w:rsidR="00AC257D" w:rsidRPr="00AC257D" w:rsidRDefault="00AC257D" w:rsidP="00AC257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elementele</w:t>
            </w:r>
            <w:proofErr w:type="spellEnd"/>
            <w:proofErr w:type="gram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justificative ale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statelor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membre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pentru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îndeplinirea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prevederilor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>Regulamentului</w:t>
            </w:r>
            <w:proofErr w:type="spellEnd"/>
            <w:r w:rsidRPr="00AC257D">
              <w:rPr>
                <w:rFonts w:ascii="Trebuchet MS" w:hAnsi="Trebuchet MS" w:cstheme="majorHAnsi"/>
                <w:b/>
                <w:color w:val="000000" w:themeColor="text1"/>
                <w:sz w:val="22"/>
                <w:szCs w:val="22"/>
                <w:lang w:val="fr-FR"/>
              </w:rPr>
              <w:t xml:space="preserve"> (UE) 2018/1714</w:t>
            </w:r>
          </w:p>
          <w:p w14:paraId="7DA95727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Efectuează deplasări în străinătate în vederea reprezentării instituției, participă la evenimente naționale și internaționale prin raportare la specificul activității</w:t>
            </w:r>
          </w:p>
          <w:p w14:paraId="648169B4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Elaborează rapoarte consolidate solicitate de conducere și pentru alte autorități</w:t>
            </w:r>
          </w:p>
          <w:p w14:paraId="53C10604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lastRenderedPageBreak/>
              <w:t>Monitorizează permanent legislația și inițiativele europene în domeniul interoperabilității sistemelor de guvernare electronică, în colaborare cu alte departamente de specialitate din cadrul ADR, pentru a identifica posibile nișe pe care instuția ar putea să le valorifice</w:t>
            </w:r>
          </w:p>
          <w:p w14:paraId="2F10A950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AC257D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Însușirea temeinică a legislației europene și naționale care guvernează PCUe, SEN și ROeID</w:t>
            </w:r>
          </w:p>
          <w:p w14:paraId="2D3C1E15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Participă proactiv la implementarea Regulamentului (UE) 2018/1724 al PE și CE privind înființarea unui portal digital unic (gateway)</w:t>
            </w:r>
          </w:p>
          <w:p w14:paraId="765AD20F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Asigură activitatea de tip suport în implementarea și derularea operațională a proiectului PSCID/ROeID</w:t>
            </w:r>
          </w:p>
          <w:p w14:paraId="15397FC4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Participă la întocmirea raportului periodic de activitate al instituției</w:t>
            </w:r>
          </w:p>
          <w:p w14:paraId="59E72E7C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 xml:space="preserve">Păstrează secretul de serviciu, precum și asupra datelor și al informațiilor cu caracter confidențial deținute sau la care are acces ca urmare a exercitării atribuțiilor de serviciu </w:t>
            </w:r>
          </w:p>
          <w:p w14:paraId="14EF324D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Asigură arhivarea documentelor elaborate în cadrul serviciului, păstrarea acestora în condiții optime și trimiterea la arhiva instituției a documentelor clasate, conform normelor în vigoare</w:t>
            </w:r>
          </w:p>
          <w:p w14:paraId="376972FD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În îndeplinirea sarcinilor/atribuțiilor de serviciu aplică/respectă procedurile emise/aprobate în cadrul instituției</w:t>
            </w:r>
          </w:p>
          <w:p w14:paraId="636D2488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 xml:space="preserve">Întocmește, reactualizează procedurile operaționale specifice serviciului din care face parte </w:t>
            </w:r>
          </w:p>
          <w:p w14:paraId="6D1F6054" w14:textId="77777777" w:rsidR="00AC257D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Asigură consultanță și suport de tip callcenter pentru utilizatorii Punctului de Contact Unic electronic, Sistemului Electronic Național și aplicației RoeID</w:t>
            </w:r>
          </w:p>
          <w:p w14:paraId="63ACF698" w14:textId="0FC24642" w:rsidR="00812D53" w:rsidRPr="00AC257D" w:rsidRDefault="00AC257D" w:rsidP="00AC257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AC257D">
              <w:rPr>
                <w:rFonts w:ascii="Trebuchet MS" w:hAnsi="Trebuchet MS"/>
                <w:b/>
                <w:sz w:val="22"/>
                <w:szCs w:val="22"/>
                <w:lang w:val="it-IT"/>
              </w:rPr>
              <w:t>Î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ndeplinește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alte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sarcini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trasate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conducătorii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ierarhici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funcție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nevoia</w:t>
            </w:r>
            <w:proofErr w:type="spellEnd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C257D">
              <w:rPr>
                <w:rFonts w:ascii="Trebuchet MS" w:hAnsi="Trebuchet MS"/>
                <w:b/>
                <w:sz w:val="22"/>
                <w:szCs w:val="22"/>
                <w:lang w:val="fr-FR"/>
              </w:rPr>
              <w:t>instituțională</w:t>
            </w:r>
            <w:proofErr w:type="spellEnd"/>
          </w:p>
        </w:tc>
      </w:tr>
      <w:tr w:rsidR="00812D53" w:rsidRPr="00AC257D" w14:paraId="0ABB9122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9D134" w14:textId="77777777" w:rsidR="00812D53" w:rsidRPr="003F2B2E" w:rsidRDefault="001B1300" w:rsidP="004A0975">
            <w:pPr>
              <w:spacing w:before="120" w:after="120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lastRenderedPageBreak/>
              <w:t xml:space="preserve">D. </w:t>
            </w:r>
            <w:r w:rsidR="00812D53"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Sfera relaţională a titularului postului</w:t>
            </w:r>
          </w:p>
        </w:tc>
      </w:tr>
      <w:tr w:rsidR="00812D53" w:rsidRPr="003F2B2E" w14:paraId="2D02B893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B85A4" w14:textId="77777777" w:rsidR="00812D53" w:rsidRPr="003F2B2E" w:rsidRDefault="00812D53" w:rsidP="006C1112">
            <w:pPr>
              <w:spacing w:before="120" w:after="120"/>
              <w:ind w:firstLine="488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1. Sfera relaţională internă:</w:t>
            </w:r>
          </w:p>
        </w:tc>
      </w:tr>
      <w:tr w:rsidR="00812D53" w:rsidRPr="003F2B2E" w14:paraId="42F1CA6A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AAA1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a) Relaţii ierarhice:</w:t>
            </w:r>
          </w:p>
        </w:tc>
      </w:tr>
      <w:tr w:rsidR="00812D53" w:rsidRPr="00AC257D" w14:paraId="154E6F5D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F1BE0" w14:textId="77777777" w:rsidR="00812D53" w:rsidRPr="005A1436" w:rsidRDefault="00812D53" w:rsidP="006C1112">
            <w:pPr>
              <w:jc w:val="both"/>
              <w:rPr>
                <w:rFonts w:ascii="Trebuchet MS" w:hAnsi="Trebuchet MS"/>
                <w:b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5A143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- subordonat faţă de:</w:t>
            </w:r>
            <w:r w:rsidRPr="005A1436">
              <w:rPr>
                <w:rFonts w:ascii="Trebuchet MS" w:hAnsi="Trebuchet MS"/>
                <w:noProof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5A1436">
              <w:rPr>
                <w:rFonts w:ascii="Trebuchet MS" w:hAnsi="Trebuchet MS"/>
                <w:b/>
                <w:noProof/>
                <w:color w:val="000000" w:themeColor="text1"/>
                <w:sz w:val="22"/>
                <w:szCs w:val="22"/>
                <w:lang w:val="ro-RO"/>
              </w:rPr>
              <w:t>Șef Serviciu PCUe</w:t>
            </w:r>
          </w:p>
          <w:p w14:paraId="000D3247" w14:textId="77777777" w:rsidR="00812D53" w:rsidRPr="00A51BD8" w:rsidRDefault="00812D53" w:rsidP="006C1112">
            <w:pPr>
              <w:jc w:val="both"/>
              <w:rPr>
                <w:rFonts w:ascii="Trebuchet MS" w:hAnsi="Trebuchet MS"/>
                <w:b/>
                <w:noProof/>
                <w:sz w:val="22"/>
                <w:szCs w:val="22"/>
                <w:lang w:val="ro-RO"/>
              </w:rPr>
            </w:pPr>
            <w:r w:rsidRPr="005A1436">
              <w:rPr>
                <w:rFonts w:ascii="Trebuchet MS" w:hAnsi="Trebuchet MS"/>
                <w:b/>
                <w:noProof/>
                <w:color w:val="000000" w:themeColor="text1"/>
                <w:sz w:val="22"/>
                <w:szCs w:val="22"/>
                <w:lang w:val="ro-RO"/>
              </w:rPr>
              <w:t xml:space="preserve">                                 </w:t>
            </w:r>
          </w:p>
        </w:tc>
      </w:tr>
      <w:tr w:rsidR="00812D53" w:rsidRPr="003F2B2E" w14:paraId="4B5FA9F9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304A5" w14:textId="77777777" w:rsidR="00812D53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- superior pentru: </w:t>
            </w: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Nu este cazul </w:t>
            </w:r>
          </w:p>
          <w:p w14:paraId="5DA62ED6" w14:textId="77777777" w:rsidR="00A01363" w:rsidRPr="003F2B2E" w:rsidRDefault="00A0136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812D53" w:rsidRPr="00AC257D" w14:paraId="2079E239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89451" w14:textId="77777777" w:rsidR="00A01363" w:rsidRDefault="00812D53" w:rsidP="006C1112">
            <w:pPr>
              <w:rPr>
                <w:rFonts w:ascii="Trebuchet MS" w:hAnsi="Trebuchet MS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b) Relaţii funcţionale: </w:t>
            </w:r>
            <w:r w:rsidRPr="006C1B25">
              <w:rPr>
                <w:rFonts w:ascii="Trebuchet MS" w:hAnsi="Trebuchet MS"/>
                <w:b/>
                <w:color w:val="000000"/>
                <w:sz w:val="22"/>
                <w:szCs w:val="22"/>
                <w:lang w:val="ro-RO" w:eastAsia="ro-RO"/>
              </w:rPr>
              <w:t>cu toate direcțiile, serviciile și compartimentele din cadrul ADR</w:t>
            </w:r>
          </w:p>
          <w:p w14:paraId="542EBF9E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</w:tc>
      </w:tr>
      <w:tr w:rsidR="00812D53" w:rsidRPr="003F2B2E" w14:paraId="42EFF13F" w14:textId="77777777" w:rsidTr="00CA51EB">
        <w:trPr>
          <w:trHeight w:val="6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865AB" w14:textId="77777777" w:rsidR="00812D53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c) Relaţii de control: </w:t>
            </w:r>
            <w:r w:rsidRPr="006C1B25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în limita competențelor funcției și a atribuţiilor delegate de superiorul ierarhic</w:t>
            </w:r>
          </w:p>
          <w:p w14:paraId="34913D78" w14:textId="77777777" w:rsidR="00A01363" w:rsidRPr="003F2B2E" w:rsidRDefault="00A0136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812D53" w:rsidRPr="003F2B2E" w14:paraId="42837845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6D0C3" w14:textId="77777777" w:rsidR="00812D53" w:rsidRPr="003F2B2E" w:rsidRDefault="00812D53" w:rsidP="006C1112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d) Relaţii de reprezentare: </w:t>
            </w:r>
            <w:r w:rsidRPr="006C1B25">
              <w:rPr>
                <w:rFonts w:ascii="Trebuchet MS" w:hAnsi="Trebuchet MS"/>
                <w:b/>
                <w:noProof/>
                <w:sz w:val="22"/>
                <w:szCs w:val="22"/>
                <w:lang w:val="ro-RO"/>
              </w:rPr>
              <w:t>în limita competențelor funcției și a atribuţiilor delegate de superiorul ierarhic</w:t>
            </w:r>
          </w:p>
        </w:tc>
      </w:tr>
      <w:tr w:rsidR="00812D53" w:rsidRPr="003F2B2E" w14:paraId="346D9F60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9C815" w14:textId="77777777" w:rsidR="00812D53" w:rsidRPr="003F2B2E" w:rsidRDefault="004A0975" w:rsidP="004A0975">
            <w:pPr>
              <w:spacing w:before="120" w:after="120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lastRenderedPageBreak/>
              <w:t xml:space="preserve"> </w:t>
            </w:r>
            <w:r w:rsidR="00812D53"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2. Sfera relaţională externă:</w:t>
            </w:r>
          </w:p>
        </w:tc>
      </w:tr>
      <w:tr w:rsidR="00812D53" w:rsidRPr="00AC257D" w14:paraId="3963F5E7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8063B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a) cu autorităţi şi instituţii publice: </w:t>
            </w:r>
            <w:r w:rsidRPr="006C1B25">
              <w:rPr>
                <w:rFonts w:ascii="Trebuchet MS" w:hAnsi="Trebuchet MS"/>
                <w:b/>
                <w:noProof/>
                <w:sz w:val="22"/>
                <w:szCs w:val="22"/>
                <w:lang w:val="ro-RO"/>
              </w:rPr>
              <w:t>conform nivelului postului şi delegării primite de la superiorii ierarhici</w:t>
            </w:r>
          </w:p>
        </w:tc>
      </w:tr>
      <w:tr w:rsidR="00812D53" w:rsidRPr="00AC257D" w14:paraId="2B6353B0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6B1F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b) cu organizaţii internaţionale: </w:t>
            </w:r>
            <w:r w:rsidRPr="006C1B25">
              <w:rPr>
                <w:rFonts w:ascii="Trebuchet MS" w:hAnsi="Trebuchet MS"/>
                <w:b/>
                <w:noProof/>
                <w:sz w:val="22"/>
                <w:szCs w:val="22"/>
                <w:lang w:val="ro-RO"/>
              </w:rPr>
              <w:t>conform nivelului postului şi delegării primite de la superiorii ierarhici</w:t>
            </w:r>
          </w:p>
        </w:tc>
      </w:tr>
      <w:tr w:rsidR="00812D53" w:rsidRPr="00AC257D" w14:paraId="1A7D227D" w14:textId="77777777" w:rsidTr="006C11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E4F19" w14:textId="77777777" w:rsidR="00812D53" w:rsidRPr="003F2B2E" w:rsidRDefault="00812D53" w:rsidP="006C1112">
            <w:pP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c) cu persoane juridice private: </w:t>
            </w:r>
            <w:r w:rsidRPr="006C1B25">
              <w:rPr>
                <w:rFonts w:ascii="Trebuchet MS" w:hAnsi="Trebuchet MS"/>
                <w:b/>
                <w:noProof/>
                <w:sz w:val="22"/>
                <w:szCs w:val="22"/>
                <w:lang w:val="ro-RO"/>
              </w:rPr>
              <w:t>conform nivelului postului şi delegării primite de la superiorii ierarhici</w:t>
            </w:r>
          </w:p>
        </w:tc>
      </w:tr>
      <w:tr w:rsidR="00812D53" w:rsidRPr="00AC257D" w14:paraId="089E073B" w14:textId="77777777" w:rsidTr="00DB4EF0">
        <w:trPr>
          <w:trHeight w:val="17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0D5EC" w14:textId="77777777" w:rsidR="000B6F94" w:rsidRDefault="001B1300" w:rsidP="001B1300">
            <w:pPr>
              <w:jc w:val="both"/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3</w:t>
            </w:r>
            <w:r w:rsidR="00812D53"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. Delegarea de atribuţii şi competen</w:t>
            </w:r>
            <w:r w:rsidR="000B6F94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>ț</w:t>
            </w:r>
            <w:r w:rsidR="00812D53" w:rsidRPr="003F2B2E">
              <w:rPr>
                <w:rFonts w:ascii="Trebuchet MS" w:hAnsi="Trebuchet MS" w:cs="Verdana"/>
                <w:b/>
                <w:color w:val="000000"/>
                <w:sz w:val="22"/>
                <w:szCs w:val="22"/>
                <w:lang w:val="ro-RO" w:eastAsia="ro-RO"/>
              </w:rPr>
              <w:t xml:space="preserve">e: </w:t>
            </w:r>
          </w:p>
          <w:p w14:paraId="2E3BA7A3" w14:textId="77777777" w:rsidR="00812D53" w:rsidRDefault="00001136" w:rsidP="00CE5EC0">
            <w:pPr>
              <w:jc w:val="both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5D1DD1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Conform </w:t>
            </w:r>
            <w:r w:rsidR="005D1DD1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deciziilor președintelui ADR</w:t>
            </w:r>
          </w:p>
          <w:p w14:paraId="419AD714" w14:textId="77777777" w:rsidR="009F2143" w:rsidRDefault="00CD514A" w:rsidP="00CE5EC0">
            <w:pPr>
              <w:jc w:val="both"/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Î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n perioada concediului de odihn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ă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,</w:t>
            </w:r>
            <w:r w:rsidR="00E763B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 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concediu pentru incapacitate de munc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ă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, delega</w:t>
            </w:r>
            <w:r w:rsidR="00625375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ț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ii, concediu f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ă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r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ă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 plat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ă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, suspendare, d</w:t>
            </w:r>
            <w:r w:rsidR="00E763B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e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ta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ș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are, este 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î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nlocuit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ă</w:t>
            </w:r>
            <w:r w:rsidR="009F2143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 xml:space="preserve"> de </w:t>
            </w:r>
            <w:r w:rsidR="00E763B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angaja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ț</w:t>
            </w:r>
            <w:r w:rsidR="00E763B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ii cu aceea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ș</w:t>
            </w:r>
            <w:r w:rsidR="00E763B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i func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ț</w:t>
            </w:r>
            <w:r w:rsidR="00E763B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ie din cadrul Se</w:t>
            </w:r>
            <w:r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r</w:t>
            </w:r>
            <w:r w:rsidR="00E763B6">
              <w:rPr>
                <w:rFonts w:ascii="Trebuchet MS" w:hAnsi="Trebuchet MS" w:cs="Verdana"/>
                <w:b/>
                <w:color w:val="000000" w:themeColor="text1"/>
                <w:sz w:val="22"/>
                <w:szCs w:val="22"/>
                <w:lang w:val="ro-RO" w:eastAsia="ro-RO"/>
              </w:rPr>
              <w:t>viciului PCUe</w:t>
            </w:r>
          </w:p>
          <w:p w14:paraId="6C3A0350" w14:textId="77777777" w:rsidR="005D1DD1" w:rsidRPr="00327080" w:rsidRDefault="005D1DD1" w:rsidP="00CE5EC0">
            <w:pPr>
              <w:jc w:val="both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DB4EF0" w:rsidRPr="0037696A" w14:paraId="669D3727" w14:textId="77777777" w:rsidTr="00CA51EB">
        <w:trPr>
          <w:trHeight w:val="46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81CF4" w14:textId="77777777" w:rsidR="00DB4EF0" w:rsidRDefault="00DB4EF0" w:rsidP="00DB4EF0">
            <w:pPr>
              <w:jc w:val="both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14:paraId="4DCB9129" w14:textId="77777777" w:rsidR="00DB4EF0" w:rsidRPr="00F72AA2" w:rsidRDefault="007A4E5B" w:rsidP="00DB4EF0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 </w:t>
            </w:r>
            <w:r w:rsidR="00DB4EF0" w:rsidRPr="00F72AA2">
              <w:rPr>
                <w:rFonts w:ascii="Trebuchet MS" w:hAnsi="Trebuchet MS"/>
                <w:b/>
                <w:sz w:val="22"/>
                <w:szCs w:val="22"/>
                <w:lang w:val="ro-RO"/>
              </w:rPr>
              <w:t>Întocmit de</w:t>
            </w:r>
            <w:r w:rsidR="00DB4EF0" w:rsidRPr="00F72AA2">
              <w:rPr>
                <w:rFonts w:ascii="Trebuchet MS" w:hAnsi="Trebuchet MS"/>
                <w:sz w:val="22"/>
                <w:szCs w:val="22"/>
                <w:lang w:val="ro-RO"/>
              </w:rPr>
              <w:t>:</w:t>
            </w:r>
          </w:p>
          <w:p w14:paraId="158CA78A" w14:textId="77777777" w:rsidR="00DB4EF0" w:rsidRPr="00C14742" w:rsidRDefault="00DB4EF0" w:rsidP="00DB4E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C14742">
              <w:rPr>
                <w:rFonts w:ascii="Trebuchet MS" w:hAnsi="Trebuchet MS"/>
                <w:sz w:val="22"/>
                <w:szCs w:val="22"/>
                <w:lang w:val="ro-RO"/>
              </w:rPr>
              <w:t xml:space="preserve">Numele şi prenumele: </w:t>
            </w:r>
          </w:p>
          <w:p w14:paraId="50042436" w14:textId="77777777" w:rsidR="00DB4EF0" w:rsidRPr="00C14742" w:rsidRDefault="00DB4EF0" w:rsidP="00DB4E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C14742">
              <w:rPr>
                <w:rFonts w:ascii="Trebuchet MS" w:hAnsi="Trebuchet MS"/>
                <w:sz w:val="22"/>
                <w:szCs w:val="22"/>
                <w:lang w:val="ro-RO"/>
              </w:rPr>
              <w:t xml:space="preserve">Funcţia: </w:t>
            </w:r>
            <w:r w:rsidR="0066706D" w:rsidRPr="00C14742">
              <w:rPr>
                <w:rFonts w:ascii="Trebuchet MS" w:hAnsi="Trebuchet MS"/>
                <w:sz w:val="22"/>
                <w:szCs w:val="22"/>
                <w:lang w:val="ro-RO"/>
              </w:rPr>
              <w:t>Șef Serviciu</w:t>
            </w:r>
          </w:p>
          <w:p w14:paraId="49EE059B" w14:textId="77777777" w:rsidR="00DB4EF0" w:rsidRPr="00F72AA2" w:rsidRDefault="00DB4EF0" w:rsidP="00DB4E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72AA2">
              <w:rPr>
                <w:rFonts w:ascii="Trebuchet MS" w:hAnsi="Trebuchet MS"/>
                <w:sz w:val="22"/>
                <w:szCs w:val="22"/>
                <w:lang w:val="ro-RO"/>
              </w:rPr>
              <w:t>Semnătura:</w:t>
            </w:r>
            <w:bookmarkStart w:id="3" w:name="_GoBack"/>
            <w:bookmarkEnd w:id="3"/>
          </w:p>
          <w:p w14:paraId="4B59EAEB" w14:textId="77777777" w:rsidR="00DB4EF0" w:rsidRDefault="00DB4EF0" w:rsidP="00DB4E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846974">
              <w:rPr>
                <w:rFonts w:ascii="Trebuchet MS" w:hAnsi="Trebuchet MS"/>
                <w:sz w:val="22"/>
                <w:szCs w:val="22"/>
                <w:lang w:val="ro-RO"/>
              </w:rPr>
              <w:t>Data întocmirii:</w:t>
            </w:r>
            <w:r w:rsidR="00E471CF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</w:p>
          <w:p w14:paraId="53960A84" w14:textId="77777777" w:rsidR="00DB4EF0" w:rsidRPr="00846974" w:rsidRDefault="00DB4EF0" w:rsidP="00DB4EF0">
            <w:pPr>
              <w:pStyle w:val="ListParagraph"/>
              <w:ind w:left="360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14:paraId="3E1E5F4B" w14:textId="77777777" w:rsidR="00DB4EF0" w:rsidRDefault="007A4E5B" w:rsidP="00DB4EF0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</w:t>
            </w:r>
            <w:r w:rsidR="00DB4EF0" w:rsidRPr="00F72AA2">
              <w:rPr>
                <w:rFonts w:ascii="Trebuchet MS" w:hAnsi="Trebuchet MS"/>
                <w:b/>
                <w:sz w:val="22"/>
                <w:szCs w:val="22"/>
                <w:lang w:val="ro-RO"/>
              </w:rPr>
              <w:t>Luat la cunoştinţă de către ocupantul postului</w:t>
            </w:r>
            <w:r w:rsidR="00DB4EF0" w:rsidRPr="00F72AA2">
              <w:rPr>
                <w:rFonts w:ascii="Trebuchet MS" w:hAnsi="Trebuchet MS"/>
                <w:sz w:val="22"/>
                <w:szCs w:val="22"/>
                <w:lang w:val="ro-RO"/>
              </w:rPr>
              <w:t xml:space="preserve">: </w:t>
            </w:r>
          </w:p>
          <w:p w14:paraId="2E3A84F5" w14:textId="77777777" w:rsidR="00DB4EF0" w:rsidRPr="00830A49" w:rsidRDefault="00DB4EF0" w:rsidP="00C063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830A49">
              <w:rPr>
                <w:rFonts w:ascii="Trebuchet MS" w:hAnsi="Trebuchet MS"/>
                <w:sz w:val="22"/>
                <w:szCs w:val="22"/>
                <w:lang w:val="ro-RO"/>
              </w:rPr>
              <w:t>Numele şi prenumele:</w:t>
            </w:r>
            <w:r w:rsidR="00DF6CCA" w:rsidRPr="00830A49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</w:p>
          <w:p w14:paraId="160B7423" w14:textId="77777777" w:rsidR="00DB4EF0" w:rsidRDefault="00DB4EF0" w:rsidP="00DB4E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3365E0">
              <w:rPr>
                <w:rFonts w:ascii="Trebuchet MS" w:hAnsi="Trebuchet MS"/>
                <w:sz w:val="22"/>
                <w:szCs w:val="22"/>
                <w:lang w:val="ro-RO"/>
              </w:rPr>
              <w:t>Semnătura:</w:t>
            </w:r>
          </w:p>
          <w:p w14:paraId="507320FB" w14:textId="77777777" w:rsidR="00DB4EF0" w:rsidRPr="003365E0" w:rsidRDefault="00DB4EF0" w:rsidP="00DB4E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3365E0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  <w:p w14:paraId="6BC514D9" w14:textId="77777777" w:rsidR="00DB4EF0" w:rsidRPr="003135C6" w:rsidRDefault="00DB4EF0" w:rsidP="00DB4EF0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14:paraId="02BDB69B" w14:textId="77777777" w:rsidR="00DB4EF0" w:rsidRPr="00AF1734" w:rsidRDefault="007A4E5B" w:rsidP="00DB4EF0">
            <w:pPr>
              <w:jc w:val="both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DB4EF0" w:rsidRPr="00AF1734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ro-RO"/>
              </w:rPr>
              <w:t>Contrasemnează:</w:t>
            </w:r>
          </w:p>
          <w:p w14:paraId="43130FD5" w14:textId="77777777" w:rsidR="00DB4EF0" w:rsidRPr="005A1436" w:rsidRDefault="00DB4EF0" w:rsidP="00DB4EF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</w:pPr>
            <w:r w:rsidRPr="005A1436"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  <w:t>Numele şi prenumele:</w:t>
            </w:r>
            <w:r w:rsidR="0022705B"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  <w:p w14:paraId="4D5328B6" w14:textId="77777777" w:rsidR="00DB4EF0" w:rsidRPr="005A1436" w:rsidRDefault="00DB4EF0" w:rsidP="00DB4EF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</w:pPr>
            <w:r w:rsidRPr="005A1436"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  <w:t xml:space="preserve">Funcţia: </w:t>
            </w:r>
            <w:r w:rsidR="005014C8"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  <w:t>Secretar General</w:t>
            </w:r>
          </w:p>
          <w:p w14:paraId="0A4D9FCB" w14:textId="77777777" w:rsidR="00DB4EF0" w:rsidRPr="005A1436" w:rsidRDefault="00DB4EF0" w:rsidP="00DB4EF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</w:pPr>
            <w:r w:rsidRPr="005A1436"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  <w:t>Semnătura:</w:t>
            </w:r>
          </w:p>
          <w:p w14:paraId="5EF7E1C5" w14:textId="77777777" w:rsidR="00DB4EF0" w:rsidRPr="00CA51EB" w:rsidRDefault="00DB4EF0" w:rsidP="00CE5E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</w:pPr>
            <w:r w:rsidRPr="005A1436">
              <w:rPr>
                <w:rFonts w:ascii="Trebuchet MS" w:hAnsi="Trebuchet MS"/>
                <w:color w:val="000000" w:themeColor="text1"/>
                <w:sz w:val="22"/>
                <w:szCs w:val="22"/>
                <w:lang w:val="ro-RO"/>
              </w:rPr>
              <w:t>Data întocmirii:</w:t>
            </w:r>
          </w:p>
        </w:tc>
      </w:tr>
    </w:tbl>
    <w:p w14:paraId="3859C549" w14:textId="77777777" w:rsidR="00812D53" w:rsidRDefault="00812D53" w:rsidP="00812D53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bookmarkStart w:id="4" w:name="do_ax1_pa5"/>
      <w:bookmarkEnd w:id="4"/>
    </w:p>
    <w:sectPr w:rsidR="00812D53" w:rsidSect="00011717">
      <w:headerReference w:type="default" r:id="rId8"/>
      <w:footerReference w:type="even" r:id="rId9"/>
      <w:footerReference w:type="default" r:id="rId10"/>
      <w:pgSz w:w="12240" w:h="15840"/>
      <w:pgMar w:top="1831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D310" w14:textId="77777777" w:rsidR="00656B97" w:rsidRDefault="00656B97">
      <w:r>
        <w:separator/>
      </w:r>
    </w:p>
  </w:endnote>
  <w:endnote w:type="continuationSeparator" w:id="0">
    <w:p w14:paraId="53A8B1FA" w14:textId="77777777" w:rsidR="00656B97" w:rsidRDefault="006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ogle Sans Tex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F486" w14:textId="77777777" w:rsidR="008158DF" w:rsidRDefault="002C6471" w:rsidP="00937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206839B" w14:textId="77777777" w:rsidR="008158DF" w:rsidRDefault="008158DF" w:rsidP="00821B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A7D9" w14:textId="77777777" w:rsidR="008158DF" w:rsidRDefault="008158DF" w:rsidP="00821B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3C571" w14:textId="77777777" w:rsidR="00656B97" w:rsidRDefault="00656B97">
      <w:r>
        <w:separator/>
      </w:r>
    </w:p>
  </w:footnote>
  <w:footnote w:type="continuationSeparator" w:id="0">
    <w:p w14:paraId="48ED57B5" w14:textId="77777777" w:rsidR="00656B97" w:rsidRDefault="0065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1D8C" w14:textId="7D4DA966" w:rsidR="00011717" w:rsidRDefault="00011717">
    <w:pPr>
      <w:pStyle w:val="Header"/>
      <w:rPr>
        <w:lang w:val="ro-RO"/>
      </w:rPr>
    </w:pPr>
    <w:r>
      <w:rPr>
        <w:lang w:val="ro-RO"/>
      </w:rPr>
      <w:t>Anexa nr. 3</w:t>
    </w:r>
  </w:p>
  <w:p w14:paraId="02B576B3" w14:textId="77777777" w:rsidR="00011717" w:rsidRDefault="00011717">
    <w:pPr>
      <w:pStyle w:val="Header"/>
      <w:rPr>
        <w:lang w:val="ro-RO"/>
      </w:rPr>
    </w:pPr>
  </w:p>
  <w:p w14:paraId="7961D5C0" w14:textId="77777777" w:rsidR="00011717" w:rsidRDefault="00011717">
    <w:pPr>
      <w:pStyle w:val="Header"/>
      <w:rPr>
        <w:lang w:val="ro-RO"/>
      </w:rPr>
    </w:pPr>
  </w:p>
  <w:p w14:paraId="75063653" w14:textId="77777777" w:rsidR="00011717" w:rsidRDefault="00011717">
    <w:pPr>
      <w:pStyle w:val="Header"/>
      <w:rPr>
        <w:lang w:val="ro-RO"/>
      </w:rPr>
    </w:pPr>
  </w:p>
  <w:p w14:paraId="7B96EC26" w14:textId="77777777" w:rsidR="00011717" w:rsidRPr="00011717" w:rsidRDefault="00011717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B2145"/>
    <w:multiLevelType w:val="hybridMultilevel"/>
    <w:tmpl w:val="84B0E1D2"/>
    <w:lvl w:ilvl="0" w:tplc="CE169A02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4F00"/>
    <w:multiLevelType w:val="hybridMultilevel"/>
    <w:tmpl w:val="D922A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B1360"/>
    <w:multiLevelType w:val="hybridMultilevel"/>
    <w:tmpl w:val="BAE8F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E40BA"/>
    <w:multiLevelType w:val="hybridMultilevel"/>
    <w:tmpl w:val="59048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044D4"/>
    <w:multiLevelType w:val="hybridMultilevel"/>
    <w:tmpl w:val="5226D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263D5"/>
    <w:multiLevelType w:val="hybridMultilevel"/>
    <w:tmpl w:val="67A8118C"/>
    <w:lvl w:ilvl="0" w:tplc="FF4A50BA">
      <w:start w:val="1"/>
      <w:numFmt w:val="decimal"/>
      <w:lvlText w:val="%1."/>
      <w:lvlJc w:val="left"/>
      <w:pPr>
        <w:ind w:left="720" w:hanging="360"/>
      </w:pPr>
      <w:rPr>
        <w:rFonts w:cs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45F7B"/>
    <w:multiLevelType w:val="hybridMultilevel"/>
    <w:tmpl w:val="AD4A7984"/>
    <w:lvl w:ilvl="0" w:tplc="FD5E9D9A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" w15:restartNumberingAfterBreak="0">
    <w:nsid w:val="75825D30"/>
    <w:multiLevelType w:val="hybridMultilevel"/>
    <w:tmpl w:val="9DF6783A"/>
    <w:lvl w:ilvl="0" w:tplc="85E075E6">
      <w:start w:val="1"/>
      <w:numFmt w:val="lowerLetter"/>
      <w:lvlText w:val="%1)"/>
      <w:lvlJc w:val="left"/>
      <w:pPr>
        <w:ind w:left="866" w:hanging="326"/>
      </w:pPr>
      <w:rPr>
        <w:b w:val="0"/>
        <w:w w:val="96"/>
        <w:lang w:val="ro-RO" w:eastAsia="en-US" w:bidi="ar-SA"/>
      </w:rPr>
    </w:lvl>
    <w:lvl w:ilvl="1" w:tplc="1DEC6F58">
      <w:numFmt w:val="bullet"/>
      <w:lvlText w:val="•"/>
      <w:lvlJc w:val="left"/>
      <w:pPr>
        <w:ind w:left="1788" w:hanging="326"/>
      </w:pPr>
      <w:rPr>
        <w:lang w:val="ro-RO" w:eastAsia="en-US" w:bidi="ar-SA"/>
      </w:rPr>
    </w:lvl>
    <w:lvl w:ilvl="2" w:tplc="0B1C9994">
      <w:numFmt w:val="bullet"/>
      <w:lvlText w:val="•"/>
      <w:lvlJc w:val="left"/>
      <w:pPr>
        <w:ind w:left="2676" w:hanging="326"/>
      </w:pPr>
      <w:rPr>
        <w:lang w:val="ro-RO" w:eastAsia="en-US" w:bidi="ar-SA"/>
      </w:rPr>
    </w:lvl>
    <w:lvl w:ilvl="3" w:tplc="49C0CC5E">
      <w:numFmt w:val="bullet"/>
      <w:lvlText w:val="•"/>
      <w:lvlJc w:val="left"/>
      <w:pPr>
        <w:ind w:left="3565" w:hanging="326"/>
      </w:pPr>
      <w:rPr>
        <w:lang w:val="ro-RO" w:eastAsia="en-US" w:bidi="ar-SA"/>
      </w:rPr>
    </w:lvl>
    <w:lvl w:ilvl="4" w:tplc="E9786566">
      <w:numFmt w:val="bullet"/>
      <w:lvlText w:val="•"/>
      <w:lvlJc w:val="left"/>
      <w:pPr>
        <w:ind w:left="4453" w:hanging="326"/>
      </w:pPr>
      <w:rPr>
        <w:lang w:val="ro-RO" w:eastAsia="en-US" w:bidi="ar-SA"/>
      </w:rPr>
    </w:lvl>
    <w:lvl w:ilvl="5" w:tplc="8B745C90">
      <w:numFmt w:val="bullet"/>
      <w:lvlText w:val="•"/>
      <w:lvlJc w:val="left"/>
      <w:pPr>
        <w:ind w:left="5342" w:hanging="326"/>
      </w:pPr>
      <w:rPr>
        <w:lang w:val="ro-RO" w:eastAsia="en-US" w:bidi="ar-SA"/>
      </w:rPr>
    </w:lvl>
    <w:lvl w:ilvl="6" w:tplc="624ECCB0">
      <w:numFmt w:val="bullet"/>
      <w:lvlText w:val="•"/>
      <w:lvlJc w:val="left"/>
      <w:pPr>
        <w:ind w:left="6230" w:hanging="326"/>
      </w:pPr>
      <w:rPr>
        <w:lang w:val="ro-RO" w:eastAsia="en-US" w:bidi="ar-SA"/>
      </w:rPr>
    </w:lvl>
    <w:lvl w:ilvl="7" w:tplc="259048D2">
      <w:numFmt w:val="bullet"/>
      <w:lvlText w:val="•"/>
      <w:lvlJc w:val="left"/>
      <w:pPr>
        <w:ind w:left="7118" w:hanging="326"/>
      </w:pPr>
      <w:rPr>
        <w:lang w:val="ro-RO" w:eastAsia="en-US" w:bidi="ar-SA"/>
      </w:rPr>
    </w:lvl>
    <w:lvl w:ilvl="8" w:tplc="24869258">
      <w:numFmt w:val="bullet"/>
      <w:lvlText w:val="•"/>
      <w:lvlJc w:val="left"/>
      <w:pPr>
        <w:ind w:left="8007" w:hanging="326"/>
      </w:pPr>
      <w:rPr>
        <w:lang w:val="ro-RO" w:eastAsia="en-US" w:bidi="ar-SA"/>
      </w:rPr>
    </w:lvl>
  </w:abstractNum>
  <w:abstractNum w:abstractNumId="8" w15:restartNumberingAfterBreak="0">
    <w:nsid w:val="7F135BB7"/>
    <w:multiLevelType w:val="hybridMultilevel"/>
    <w:tmpl w:val="48E63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53"/>
    <w:rsid w:val="00001136"/>
    <w:rsid w:val="000056F5"/>
    <w:rsid w:val="00011717"/>
    <w:rsid w:val="00012341"/>
    <w:rsid w:val="000349D0"/>
    <w:rsid w:val="00056A03"/>
    <w:rsid w:val="000615E7"/>
    <w:rsid w:val="0007645B"/>
    <w:rsid w:val="000A5321"/>
    <w:rsid w:val="000B6F94"/>
    <w:rsid w:val="000B7442"/>
    <w:rsid w:val="000C02C8"/>
    <w:rsid w:val="00111863"/>
    <w:rsid w:val="00111C12"/>
    <w:rsid w:val="001327F9"/>
    <w:rsid w:val="001577A4"/>
    <w:rsid w:val="001B1300"/>
    <w:rsid w:val="001B156E"/>
    <w:rsid w:val="001C0397"/>
    <w:rsid w:val="001D1458"/>
    <w:rsid w:val="001D3A4E"/>
    <w:rsid w:val="001F0334"/>
    <w:rsid w:val="001F1050"/>
    <w:rsid w:val="00201877"/>
    <w:rsid w:val="0022705B"/>
    <w:rsid w:val="00234D27"/>
    <w:rsid w:val="00242C60"/>
    <w:rsid w:val="002A430B"/>
    <w:rsid w:val="002C6471"/>
    <w:rsid w:val="00313B35"/>
    <w:rsid w:val="00325E8A"/>
    <w:rsid w:val="00346361"/>
    <w:rsid w:val="0035022C"/>
    <w:rsid w:val="00366457"/>
    <w:rsid w:val="0037696A"/>
    <w:rsid w:val="00385D4D"/>
    <w:rsid w:val="003A03FB"/>
    <w:rsid w:val="003D33D7"/>
    <w:rsid w:val="003D704D"/>
    <w:rsid w:val="004366A4"/>
    <w:rsid w:val="00440AC1"/>
    <w:rsid w:val="004410D2"/>
    <w:rsid w:val="00442A8B"/>
    <w:rsid w:val="004658F4"/>
    <w:rsid w:val="00480C8C"/>
    <w:rsid w:val="004842D0"/>
    <w:rsid w:val="004A0975"/>
    <w:rsid w:val="004A0BF7"/>
    <w:rsid w:val="004B6243"/>
    <w:rsid w:val="004C0753"/>
    <w:rsid w:val="004C3C84"/>
    <w:rsid w:val="004D0E4E"/>
    <w:rsid w:val="004D43B0"/>
    <w:rsid w:val="004F50E4"/>
    <w:rsid w:val="005014C8"/>
    <w:rsid w:val="005044C3"/>
    <w:rsid w:val="00560CDA"/>
    <w:rsid w:val="005657A4"/>
    <w:rsid w:val="00585802"/>
    <w:rsid w:val="005A5CF7"/>
    <w:rsid w:val="005B6E7F"/>
    <w:rsid w:val="005C149B"/>
    <w:rsid w:val="005C4314"/>
    <w:rsid w:val="005D1DD1"/>
    <w:rsid w:val="006111E8"/>
    <w:rsid w:val="00625375"/>
    <w:rsid w:val="0064331E"/>
    <w:rsid w:val="00644690"/>
    <w:rsid w:val="00656B97"/>
    <w:rsid w:val="00666B9D"/>
    <w:rsid w:val="0066706D"/>
    <w:rsid w:val="00672033"/>
    <w:rsid w:val="006936B4"/>
    <w:rsid w:val="006F1C59"/>
    <w:rsid w:val="006F4B78"/>
    <w:rsid w:val="006F79A0"/>
    <w:rsid w:val="00702A6D"/>
    <w:rsid w:val="00714A1F"/>
    <w:rsid w:val="00743BDA"/>
    <w:rsid w:val="0078724C"/>
    <w:rsid w:val="007973FE"/>
    <w:rsid w:val="007A4E5B"/>
    <w:rsid w:val="007B63E5"/>
    <w:rsid w:val="007E2647"/>
    <w:rsid w:val="00805CF4"/>
    <w:rsid w:val="00805DBA"/>
    <w:rsid w:val="0080782F"/>
    <w:rsid w:val="00812D53"/>
    <w:rsid w:val="008158DF"/>
    <w:rsid w:val="00815A26"/>
    <w:rsid w:val="00830A49"/>
    <w:rsid w:val="0084308D"/>
    <w:rsid w:val="00851472"/>
    <w:rsid w:val="0087304A"/>
    <w:rsid w:val="00877D88"/>
    <w:rsid w:val="00881300"/>
    <w:rsid w:val="00881B2E"/>
    <w:rsid w:val="008A0C2D"/>
    <w:rsid w:val="008B1AB5"/>
    <w:rsid w:val="008F2B21"/>
    <w:rsid w:val="008F3592"/>
    <w:rsid w:val="00927C47"/>
    <w:rsid w:val="009301DA"/>
    <w:rsid w:val="00975377"/>
    <w:rsid w:val="00980EC6"/>
    <w:rsid w:val="00983483"/>
    <w:rsid w:val="009B2E86"/>
    <w:rsid w:val="009D6027"/>
    <w:rsid w:val="009F2143"/>
    <w:rsid w:val="00A01074"/>
    <w:rsid w:val="00A01363"/>
    <w:rsid w:val="00A40521"/>
    <w:rsid w:val="00A4395C"/>
    <w:rsid w:val="00A4638F"/>
    <w:rsid w:val="00A53AC9"/>
    <w:rsid w:val="00A81F4F"/>
    <w:rsid w:val="00A82CF8"/>
    <w:rsid w:val="00A87844"/>
    <w:rsid w:val="00AA54C9"/>
    <w:rsid w:val="00AC257D"/>
    <w:rsid w:val="00AD0D0A"/>
    <w:rsid w:val="00AD65BD"/>
    <w:rsid w:val="00AE3B7F"/>
    <w:rsid w:val="00AF1734"/>
    <w:rsid w:val="00AF651C"/>
    <w:rsid w:val="00B02A77"/>
    <w:rsid w:val="00B049A0"/>
    <w:rsid w:val="00B17045"/>
    <w:rsid w:val="00B57E9A"/>
    <w:rsid w:val="00B73856"/>
    <w:rsid w:val="00B93423"/>
    <w:rsid w:val="00BA40A9"/>
    <w:rsid w:val="00BC1C79"/>
    <w:rsid w:val="00BD037B"/>
    <w:rsid w:val="00BF2878"/>
    <w:rsid w:val="00C02ECF"/>
    <w:rsid w:val="00C04196"/>
    <w:rsid w:val="00C117EF"/>
    <w:rsid w:val="00C12914"/>
    <w:rsid w:val="00C14742"/>
    <w:rsid w:val="00C35ABC"/>
    <w:rsid w:val="00C43EA0"/>
    <w:rsid w:val="00C756B1"/>
    <w:rsid w:val="00CA51EB"/>
    <w:rsid w:val="00CC44DB"/>
    <w:rsid w:val="00CD0FBC"/>
    <w:rsid w:val="00CD514A"/>
    <w:rsid w:val="00CE4589"/>
    <w:rsid w:val="00CE5EC0"/>
    <w:rsid w:val="00CF52D1"/>
    <w:rsid w:val="00D06A62"/>
    <w:rsid w:val="00D14AFE"/>
    <w:rsid w:val="00D33163"/>
    <w:rsid w:val="00D34C4A"/>
    <w:rsid w:val="00DB1685"/>
    <w:rsid w:val="00DB4EF0"/>
    <w:rsid w:val="00DB7709"/>
    <w:rsid w:val="00DC7579"/>
    <w:rsid w:val="00DD37EB"/>
    <w:rsid w:val="00DE0E4B"/>
    <w:rsid w:val="00DE5949"/>
    <w:rsid w:val="00DF6CCA"/>
    <w:rsid w:val="00E26F52"/>
    <w:rsid w:val="00E35C61"/>
    <w:rsid w:val="00E471CF"/>
    <w:rsid w:val="00E60C27"/>
    <w:rsid w:val="00E726CB"/>
    <w:rsid w:val="00E75568"/>
    <w:rsid w:val="00E763B6"/>
    <w:rsid w:val="00ED4E24"/>
    <w:rsid w:val="00F13261"/>
    <w:rsid w:val="00F43414"/>
    <w:rsid w:val="00F52E2E"/>
    <w:rsid w:val="00F978F2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1D19F"/>
  <w15:chartTrackingRefBased/>
  <w15:docId w15:val="{AFF4BC99-32D2-4C4C-84F7-5DD10A9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2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D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2D53"/>
  </w:style>
  <w:style w:type="paragraph" w:styleId="ListParagraph">
    <w:name w:val="List Paragraph"/>
    <w:basedOn w:val="Normal"/>
    <w:uiPriority w:val="34"/>
    <w:qFormat/>
    <w:rsid w:val="00812D53"/>
    <w:pPr>
      <w:ind w:left="720"/>
      <w:contextualSpacing/>
    </w:pPr>
  </w:style>
  <w:style w:type="paragraph" w:customStyle="1" w:styleId="spar">
    <w:name w:val="s_par"/>
    <w:basedOn w:val="Normal"/>
    <w:rsid w:val="00C35ABC"/>
    <w:pPr>
      <w:ind w:left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B6A9-C3EF-4DCA-931C-13198C63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Perhaita</dc:creator>
  <cp:keywords/>
  <dc:description/>
  <cp:lastModifiedBy>Elena Barbulescu</cp:lastModifiedBy>
  <cp:revision>4</cp:revision>
  <cp:lastPrinted>2025-04-15T06:35:00Z</cp:lastPrinted>
  <dcterms:created xsi:type="dcterms:W3CDTF">2025-04-25T07:28:00Z</dcterms:created>
  <dcterms:modified xsi:type="dcterms:W3CDTF">2025-04-30T06:14:00Z</dcterms:modified>
</cp:coreProperties>
</file>